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0"/>
      </w:pPr>
      <w:r>
        <w:rPr>
          <w:rFonts w:ascii="Arial" w:cs="Arial" w:eastAsia="Arial" w:hAnsi="Arial"/>
          <w:b/>
          <w:bCs/>
          <w:color w:val="C0633C"/>
          <w:sz w:val="24"/>
          <w:szCs w:val="24"/>
        </w:rPr>
        <w:t xml:space="preserve">QUANTOM LLC — INTERNAL MEMORANDUM</w:t>
      </w:r>
    </w:p>
    <w:p>
      <w:pPr>
        <w:pBdr>
          <w:bottom w:val="single" w:color="C0633C" w:sz="12" w:space="4"/>
        </w:pBdr>
        <w:spacing w:after="240"/>
      </w:pPr>
      <w:r>
        <w:rPr>
          <w:sz w:val="2"/>
          <w:szCs w:val="2"/>
        </w:rPr>
        <w:t xml:space="preserve"/>
      </w:r>
    </w:p>
    <w:p>
      <w:pPr>
        <w:spacing w:after="80"/>
      </w:pPr>
      <w:r>
        <w:rPr>
          <w:rFonts w:ascii="Arial" w:cs="Arial" w:eastAsia="Arial" w:hAnsi="Arial"/>
          <w:b/>
          <w:bCs/>
          <w:sz w:val="40"/>
          <w:szCs w:val="40"/>
        </w:rPr>
        <w:t xml:space="preserve">Industry Outreach Roadmap &amp; Adjacent Regulated-Carbon Markets</w:t>
      </w:r>
    </w:p>
    <w:p>
      <w:pPr>
        <w:spacing w:after="360"/>
      </w:pPr>
      <w:r>
        <w:rPr>
          <w:rFonts w:ascii="Arial" w:cs="Arial" w:eastAsia="Arial" w:hAnsi="Arial"/>
          <w:i/>
          <w:iCs/>
          <w:color w:val="555555"/>
          <w:sz w:val="24"/>
          <w:szCs w:val="24"/>
        </w:rPr>
        <w:t xml:space="preserve">Tire Majors, Battery Materials, and the Next Five Regulated Carbon Verticals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40"/>
            </w:pPr>
            <w:r>
              <w:rPr>
                <w:rFonts w:ascii="Arial" w:cs="Arial" w:eastAsia="Arial" w:hAnsi="Arial"/>
                <w:b/>
                <w:bCs/>
                <w:sz w:val="20"/>
                <w:szCs w:val="20"/>
              </w:rPr>
              <w:t xml:space="preserve">To:</w:t>
            </w:r>
          </w:p>
        </w:tc>
        <w:tc>
          <w:tcPr>
            <w:tcW w:type="dxa" w:w="75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Mike Fawcett (COO), Austin Lin (Head of AI), Travis Bradford (Advisor)</w:t>
            </w:r>
          </w:p>
        </w:tc>
      </w:tr>
      <w:tr>
        <w:tc>
          <w:tcPr>
            <w:tcW w:type="dxa" w:w="18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40"/>
            </w:pPr>
            <w:r>
              <w:rPr>
                <w:rFonts w:ascii="Arial" w:cs="Arial" w:eastAsia="Arial" w:hAnsi="Arial"/>
                <w:b/>
                <w:bCs/>
                <w:sz w:val="20"/>
                <w:szCs w:val="20"/>
              </w:rPr>
              <w:t xml:space="preserve">From:</w:t>
            </w:r>
          </w:p>
        </w:tc>
        <w:tc>
          <w:tcPr>
            <w:tcW w:type="dxa" w:w="75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Murat Armbruster, CEO</w:t>
            </w:r>
          </w:p>
        </w:tc>
      </w:tr>
      <w:tr>
        <w:tc>
          <w:tcPr>
            <w:tcW w:type="dxa" w:w="18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40"/>
            </w:pPr>
            <w:r>
              <w:rPr>
                <w:rFonts w:ascii="Arial" w:cs="Arial" w:eastAsia="Arial" w:hAnsi="Arial"/>
                <w:b/>
                <w:bCs/>
                <w:sz w:val="20"/>
                <w:szCs w:val="20"/>
              </w:rPr>
              <w:t xml:space="preserve">Date:</w:t>
            </w:r>
          </w:p>
        </w:tc>
        <w:tc>
          <w:tcPr>
            <w:tcW w:type="dxa" w:w="75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May 17, 2026</w:t>
            </w:r>
          </w:p>
        </w:tc>
      </w:tr>
      <w:tr>
        <w:tc>
          <w:tcPr>
            <w:tcW w:type="dxa" w:w="18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40"/>
            </w:pPr>
            <w:r>
              <w:rPr>
                <w:rFonts w:ascii="Arial" w:cs="Arial" w:eastAsia="Arial" w:hAnsi="Arial"/>
                <w:b/>
                <w:bCs/>
                <w:sz w:val="20"/>
                <w:szCs w:val="20"/>
              </w:rPr>
              <w:t xml:space="preserve">Re:</w:t>
            </w:r>
          </w:p>
        </w:tc>
        <w:tc>
          <w:tcPr>
            <w:tcW w:type="dxa" w:w="75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Concrete Industry Outreach Plan + Mapping of Adjacent Regulated-Carbon Verticals Beyond Tire Carbon Black</w:t>
            </w:r>
          </w:p>
        </w:tc>
      </w:tr>
      <w:tr>
        <w:tc>
          <w:tcPr>
            <w:tcW w:type="dxa" w:w="18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40"/>
            </w:pPr>
            <w:r>
              <w:rPr>
                <w:rFonts w:ascii="Arial" w:cs="Arial" w:eastAsia="Arial" w:hAnsi="Arial"/>
                <w:b/>
                <w:bCs/>
                <w:sz w:val="20"/>
                <w:szCs w:val="20"/>
              </w:rPr>
              <w:t xml:space="preserve">Status:</w:t>
            </w:r>
          </w:p>
        </w:tc>
        <w:tc>
          <w:tcPr>
            <w:tcW w:type="dxa" w:w="75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Confidential — Quantom Internal Working Document</w:t>
            </w:r>
          </w:p>
        </w:tc>
      </w:tr>
    </w:tbl>
    <w:p>
      <w:pPr>
        <w:spacing w:after="200"/>
      </w:pPr>
      <w:r>
        <w:t xml:space="preserve"/>
      </w:r>
    </w:p>
    <w:p>
      <w:pPr>
        <w:pStyle w:val="Heading1"/>
        <w:spacing w:after="140" w:before="280"/>
      </w:pPr>
      <w:r>
        <w:rPr>
          <w:rFonts w:ascii="Arial" w:cs="Arial" w:eastAsia="Arial" w:hAnsi="Arial"/>
          <w:b/>
          <w:bCs/>
          <w:sz w:val="32"/>
          <w:szCs w:val="32"/>
        </w:rPr>
        <w:t xml:space="preserve">1. Executive Summary</w:t>
      </w:r>
    </w:p>
    <w:p>
      <w:pPr>
        <w:spacing w:after="120"/>
      </w:pPr>
      <w:r>
        <w:rPr>
          <w:rFonts w:ascii="Arial" w:cs="Arial" w:eastAsia="Arial" w:hAnsi="Arial"/>
          <w:sz w:val="22"/>
          <w:szCs w:val="22"/>
        </w:rPr>
        <w:t xml:space="preserve">This memo translates the v32 Quantom deck into actionable industry outreach. It has three jobs:</w:t>
      </w:r>
    </w:p>
    <w:p>
      <w:pPr>
        <w:pStyle w:val="ListParagraph"/>
        <w:numPr>
          <w:ilvl w:val="0"/>
          <w:numId w:val="2"/>
        </w:numPr>
        <w:spacing w:after="80"/>
      </w:pPr>
      <w:r>
        <w:rPr>
          <w:rFonts w:ascii="Arial" w:cs="Arial" w:eastAsia="Arial" w:hAnsi="Arial"/>
          <w:sz w:val="22"/>
          <w:szCs w:val="22"/>
        </w:rPr>
        <w:t xml:space="preserve">Map the tire industry's procurement landscape — who buys, who manufactures, who decides, what timeline they are on, where their plants are, and how to walk into the right room.</w:t>
      </w:r>
    </w:p>
    <w:p>
      <w:pPr>
        <w:pStyle w:val="ListParagraph"/>
        <w:numPr>
          <w:ilvl w:val="0"/>
          <w:numId w:val="2"/>
        </w:numPr>
        <w:spacing w:after="80"/>
      </w:pPr>
      <w:r>
        <w:rPr>
          <w:rFonts w:ascii="Arial" w:cs="Arial" w:eastAsia="Arial" w:hAnsi="Arial"/>
          <w:sz w:val="22"/>
          <w:szCs w:val="22"/>
        </w:rPr>
        <w:t xml:space="preserve">Test the adjacent thesis that battery coatings and other regulated-carbon products carry the same regulatory pressure that is driving tire makers to seek a non-furnace carbon black supplier.</w:t>
      </w:r>
    </w:p>
    <w:p>
      <w:pPr>
        <w:pStyle w:val="ListParagraph"/>
        <w:numPr>
          <w:ilvl w:val="0"/>
          <w:numId w:val="2"/>
        </w:numPr>
        <w:spacing w:after="80"/>
      </w:pPr>
      <w:r>
        <w:rPr>
          <w:rFonts w:ascii="Arial" w:cs="Arial" w:eastAsia="Arial" w:hAnsi="Arial"/>
          <w:sz w:val="22"/>
          <w:szCs w:val="22"/>
        </w:rPr>
        <w:t xml:space="preserve">Identify the next series of products the Quantom reactor can serve where regulatory drivers, supply gaps, and pricing all align — and rank them by addressable-market-times-regulatory-pull.</w:t>
      </w:r>
    </w:p>
    <w:p>
      <w:pPr>
        <w:spacing w:after="120"/>
      </w:pPr>
      <w:r>
        <w:rPr>
          <w:rFonts w:ascii="Arial" w:cs="Arial" w:eastAsia="Arial" w:hAnsi="Arial"/>
          <w:sz w:val="22"/>
          <w:szCs w:val="22"/>
        </w:rPr>
        <w:t xml:space="preserve">The short version of the answer:</w:t>
      </w:r>
    </w:p>
    <w:p>
      <w:pPr>
        <w:pStyle w:val="ListParagraph"/>
        <w:numPr>
          <w:ilvl w:val="0"/>
          <w:numId w:val="3"/>
        </w:numPr>
        <w:spacing w:after="80"/>
      </w:pPr>
      <w:r>
        <w:rPr>
          <w:rFonts w:ascii="Arial" w:cs="Arial" w:eastAsia="Arial" w:hAnsi="Arial"/>
          <w:b/>
          <w:bCs/>
          <w:sz w:val="22"/>
          <w:szCs w:val="22"/>
        </w:rPr>
        <w:t xml:space="preserve">Tires are the right beachhead. </w:t>
      </w:r>
      <w:r>
        <w:rPr>
          <w:rFonts w:ascii="Arial" w:cs="Arial" w:eastAsia="Arial" w:hAnsi="Arial"/>
          <w:sz w:val="22"/>
          <w:szCs w:val="22"/>
        </w:rPr>
        <w:t xml:space="preserve">The five majors (Michelin, Bridgestone, Goodyear, Continental, Pirelli) have all published 40–100% sustainable-material targets by 2030 (Michelin, Bridgestone) or 100% by 2030 (Goodyear). All five have already named at least one external supplier (Enviro, Tokai/eCB, Monolith, Pyrum, Tokai pyrolysis). None of those suppliers can fill the full gap. The supply shortfall in 2030 is roughly 3 million metric tons of tire-grade sustainable carbon black.</w:t>
      </w:r>
    </w:p>
    <w:p>
      <w:pPr>
        <w:pStyle w:val="ListParagraph"/>
        <w:numPr>
          <w:ilvl w:val="0"/>
          <w:numId w:val="3"/>
        </w:numPr>
        <w:spacing w:after="80"/>
      </w:pPr>
      <w:r>
        <w:rPr>
          <w:rFonts w:ascii="Arial" w:cs="Arial" w:eastAsia="Arial" w:hAnsi="Arial"/>
          <w:b/>
          <w:bCs/>
          <w:sz w:val="22"/>
          <w:szCs w:val="22"/>
        </w:rPr>
        <w:t xml:space="preserve">Battery coatings carry a parallel mandate. </w:t>
      </w:r>
      <w:r>
        <w:rPr>
          <w:rFonts w:ascii="Arial" w:cs="Arial" w:eastAsia="Arial" w:hAnsi="Arial"/>
          <w:sz w:val="22"/>
          <w:szCs w:val="22"/>
        </w:rPr>
        <w:t xml:space="preserve">EU Battery Regulation 2023/1542 imposes mandatory carbon-footprint declarations for industrial batteries above 2 kWh effective February 18, 2026, performance-class labelling from August 2026, and binding maximum-carbon-footprint thresholds from 2027–2030. The regulation does for batteries what CBAM does for steel/cement and what tire-maker pledges do for carbon black: it forces a verified, low-carbon supplier of conductive carbon.</w:t>
      </w:r>
    </w:p>
    <w:p>
      <w:pPr>
        <w:pStyle w:val="ListParagraph"/>
        <w:numPr>
          <w:ilvl w:val="0"/>
          <w:numId w:val="3"/>
        </w:numPr>
        <w:spacing w:after="80"/>
      </w:pPr>
      <w:r>
        <w:rPr>
          <w:rFonts w:ascii="Arial" w:cs="Arial" w:eastAsia="Arial" w:hAnsi="Arial"/>
          <w:b/>
          <w:bCs/>
          <w:sz w:val="22"/>
          <w:szCs w:val="22"/>
        </w:rPr>
        <w:t xml:space="preserve">Three adjacent verticals deserve a directed outreach push in parallel. </w:t>
      </w:r>
      <w:r>
        <w:rPr>
          <w:rFonts w:ascii="Arial" w:cs="Arial" w:eastAsia="Arial" w:hAnsi="Arial"/>
          <w:sz w:val="22"/>
          <w:szCs w:val="22"/>
        </w:rPr>
        <w:t xml:space="preserve">(a) Graphene-enhanced concrete admixtures, with Lyten, First Graphene, and Plaid Technologies already in commercial trials and CBAM phasing in for cement; (b) Activated carbon for PFAS and mercury water treatment, with EPA's 2024 PFAS rule triggering hundreds of municipal retrofits; (c) Conductive carbon black / CNT additives for Li-ion batteries, where the EU Battery Passport now requires per-component carbon-footprint accounting.</w:t>
      </w:r>
    </w:p>
    <w:p>
      <w:pPr>
        <w:pStyle w:val="ListParagraph"/>
        <w:numPr>
          <w:ilvl w:val="0"/>
          <w:numId w:val="3"/>
        </w:numPr>
        <w:spacing w:after="80"/>
      </w:pPr>
      <w:r>
        <w:rPr>
          <w:rFonts w:ascii="Arial" w:cs="Arial" w:eastAsia="Arial" w:hAnsi="Arial"/>
          <w:b/>
          <w:bCs/>
          <w:sz w:val="22"/>
          <w:szCs w:val="22"/>
        </w:rPr>
        <w:t xml:space="preserve">Action density is the constraint, not target density. </w:t>
      </w:r>
      <w:r>
        <w:rPr>
          <w:rFonts w:ascii="Arial" w:cs="Arial" w:eastAsia="Arial" w:hAnsi="Arial"/>
          <w:sz w:val="22"/>
          <w:szCs w:val="22"/>
        </w:rPr>
        <w:t xml:space="preserve">Quantom can name with reasonable confidence the right human at each of the five tire majors. The bottleneck is not finding them. It is having a 10L prototype with characterized output to walk into the qualification room. That is what the pre-seed is buying.</w:t>
      </w:r>
    </w:p>
    <w:p>
      <w:pPr>
        <w:pStyle w:val="Heading2"/>
        <w:spacing w:after="140" w:before="280"/>
      </w:pPr>
      <w:r>
        <w:rPr>
          <w:rFonts w:ascii="Arial" w:cs="Arial" w:eastAsia="Arial" w:hAnsi="Arial"/>
          <w:b/>
          <w:bCs/>
          <w:sz w:val="26"/>
          <w:szCs w:val="26"/>
        </w:rPr>
        <w:t xml:space="preserve">Strategy in one paragraph</w:t>
      </w:r>
    </w:p>
    <w:p>
      <w:pPr>
        <w:spacing w:after="120"/>
      </w:pPr>
      <w:r>
        <w:rPr>
          <w:rFonts w:ascii="Arial" w:cs="Arial" w:eastAsia="Arial" w:hAnsi="Arial"/>
          <w:sz w:val="22"/>
          <w:szCs w:val="22"/>
        </w:rPr>
        <w:t xml:space="preserve">The Quantom reactor is a recipe-driven, room-temperature, water-based electrochemical process that turns CO</w:t>
      </w:r>
      <w:r>
        <w:rPr>
          <w:rFonts w:ascii="Arial" w:cs="Arial" w:eastAsia="Arial" w:hAnsi="Arial"/>
          <w:sz w:val="18"/>
          <w:szCs w:val="18"/>
        </w:rPr>
        <w:t xml:space="preserve">₂</w:t>
      </w:r>
      <w:r>
        <w:rPr>
          <w:rFonts w:ascii="Arial" w:cs="Arial" w:eastAsia="Arial" w:hAnsi="Arial"/>
          <w:sz w:val="22"/>
          <w:szCs w:val="22"/>
        </w:rPr>
        <w:t xml:space="preserve"> into solid carbon at a 3.67:1 stoichiometric ratio. The tire industry is the beachhead because (a) procurement decisions are concentrated in five companies, (b) every one of those five has a published 2030 commitment with financial teeth, and (c) the technical bar is reachable in the Quantom roadmap. The battery industry is the natural second vertical because the EU Battery Regulation has effectively replicated the tire industry's voluntary pressure as binding regulation. Graphene-cement is the high-optionality third, where Quantom's eventual graphene output meets cement decarbonization mandates. Activated carbon for PFAS is the high-margin sleeper, where federal rules guarantee demand and pricing.</w:t>
      </w:r>
    </w:p>
    <w:p>
      <w:pPr>
        <w:pStyle w:val="Heading1"/>
        <w:spacing w:after="140" w:before="280"/>
      </w:pPr>
      <w:r>
        <w:rPr>
          <w:rFonts w:ascii="Arial" w:cs="Arial" w:eastAsia="Arial" w:hAnsi="Arial"/>
          <w:b/>
          <w:bCs/>
          <w:sz w:val="32"/>
          <w:szCs w:val="32"/>
        </w:rPr>
        <w:t xml:space="preserve">2. Tire Industry Outreach — The Top Five, Mapped</w:t>
      </w:r>
    </w:p>
    <w:p>
      <w:pPr>
        <w:spacing w:after="120"/>
      </w:pPr>
      <w:r>
        <w:rPr>
          <w:rFonts w:ascii="Arial" w:cs="Arial" w:eastAsia="Arial" w:hAnsi="Arial"/>
          <w:sz w:val="22"/>
          <w:szCs w:val="22"/>
        </w:rPr>
        <w:t xml:space="preserve">This section is the operational core. For each of the five majors, the memo names: (a) the public sustainability commitment, (b) the existing sustainable-carbon-black supplier relationship, (c) the named individual at the company who owns this procurement decision, (d) the plant geography and what that implies for sample delivery, and (e) the single best-fit Quantom pitch.</w:t>
      </w:r>
    </w:p>
    <w:p>
      <w:pPr>
        <w:pStyle w:val="Heading2"/>
        <w:spacing w:after="140" w:before="280"/>
      </w:pPr>
      <w:r>
        <w:rPr>
          <w:rFonts w:ascii="Arial" w:cs="Arial" w:eastAsia="Arial" w:hAnsi="Arial"/>
          <w:b/>
          <w:bCs/>
          <w:sz w:val="26"/>
          <w:szCs w:val="26"/>
        </w:rPr>
        <w:t xml:space="preserve">2.1 Comparative summary table — the Big Five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1700"/>
        <w:gridCol w:w="1700"/>
        <w:gridCol w:w="2160"/>
        <w:gridCol w:w="2360"/>
      </w:tblGrid>
      <w:tr>
        <w:trPr>
          <w:tblHeader/>
        </w:trPr>
        <w:tc>
          <w:tcPr>
            <w:tcW w:type="dxa" w:w="14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pPr>
              <w:spacing w:after="40"/>
            </w:pPr>
            <w:r>
              <w:rPr>
                <w:rFonts w:ascii="Arial" w:cs="Arial" w:eastAsia="Arial" w:hAnsi="Arial"/>
                <w:b/>
                <w:bCs/>
                <w:sz w:val="20"/>
                <w:szCs w:val="20"/>
              </w:rPr>
              <w:t xml:space="preserve">Maker</w:t>
            </w:r>
          </w:p>
        </w:tc>
        <w:tc>
          <w:tcPr>
            <w:tcW w:type="dxa" w:w="17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pPr>
              <w:spacing w:after="40"/>
            </w:pPr>
            <w:r>
              <w:rPr>
                <w:rFonts w:ascii="Arial" w:cs="Arial" w:eastAsia="Arial" w:hAnsi="Arial"/>
                <w:b/>
                <w:bCs/>
                <w:sz w:val="20"/>
                <w:szCs w:val="20"/>
              </w:rPr>
              <w:t xml:space="preserve">2030 target</w:t>
            </w:r>
          </w:p>
        </w:tc>
        <w:tc>
          <w:tcPr>
            <w:tcW w:type="dxa" w:w="17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pPr>
              <w:spacing w:after="40"/>
            </w:pPr>
            <w:r>
              <w:rPr>
                <w:rFonts w:ascii="Arial" w:cs="Arial" w:eastAsia="Arial" w:hAnsi="Arial"/>
                <w:b/>
                <w:bCs/>
                <w:sz w:val="20"/>
                <w:szCs w:val="20"/>
              </w:rPr>
              <w:t xml:space="preserve">Existing supplier(s)</w:t>
            </w:r>
          </w:p>
        </w:tc>
        <w:tc>
          <w:tcPr>
            <w:tcW w:type="dxa" w:w="216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pPr>
              <w:spacing w:after="40"/>
            </w:pPr>
            <w:r>
              <w:rPr>
                <w:rFonts w:ascii="Arial" w:cs="Arial" w:eastAsia="Arial" w:hAnsi="Arial"/>
                <w:b/>
                <w:bCs/>
                <w:sz w:val="20"/>
                <w:szCs w:val="20"/>
              </w:rPr>
              <w:t xml:space="preserve">Sustainability lead</w:t>
            </w:r>
          </w:p>
        </w:tc>
        <w:tc>
          <w:tcPr>
            <w:tcW w:type="dxa" w:w="236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pPr>
              <w:spacing w:after="40"/>
            </w:pPr>
            <w:r>
              <w:rPr>
                <w:rFonts w:ascii="Arial" w:cs="Arial" w:eastAsia="Arial" w:hAnsi="Arial"/>
                <w:b/>
                <w:bCs/>
                <w:sz w:val="20"/>
                <w:szCs w:val="20"/>
              </w:rPr>
              <w:t xml:space="preserve">Plant geography</w:t>
            </w:r>
          </w:p>
        </w:tc>
      </w:tr>
      <w:tr>
        <w:tc>
          <w:tcPr>
            <w:tcW w:type="dxa" w:w="144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b/>
                <w:bCs/>
                <w:sz w:val="20"/>
                <w:szCs w:val="20"/>
              </w:rPr>
              <w:t xml:space="preserve">Michelin</w:t>
            </w:r>
          </w:p>
        </w:tc>
        <w:tc>
          <w:tcPr>
            <w:tcW w:type="dxa" w:w="17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40% sustainable materials by 2030; 100% by 2050</w:t>
            </w:r>
          </w:p>
        </w:tc>
        <w:tc>
          <w:tcPr>
            <w:tcW w:type="dxa" w:w="17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Enviro (rCB equity + offtake); Pyrowave (r-styrene); Carbios (r-PET)</w:t>
            </w:r>
          </w:p>
        </w:tc>
        <w:tc>
          <w:tcPr>
            <w:tcW w:type="dxa" w:w="21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Fabien Gaboriaud — SVP Sustainable Materials &amp; Circularity (since July 2023, also Enviro board)</w:t>
            </w:r>
          </w:p>
        </w:tc>
        <w:tc>
          <w:tcPr>
            <w:tcW w:type="dxa" w:w="2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~67–71 plants across 17–26 countries; HQ Clermont-Ferrand; 15 plants in France; 36 plants in US/Canada; major sites Spain, Italy, Poland, Hungary (Taurus), Brazil, China, Thailand</w:t>
            </w:r>
          </w:p>
        </w:tc>
      </w:tr>
      <w:tr>
        <w:tc>
          <w:tcPr>
            <w:tcW w:type="dxa" w:w="144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b/>
                <w:bCs/>
                <w:sz w:val="20"/>
                <w:szCs w:val="20"/>
              </w:rPr>
              <w:t xml:space="preserve">Bridgestone</w:t>
            </w:r>
          </w:p>
        </w:tc>
        <w:tc>
          <w:tcPr>
            <w:tcW w:type="dxa" w:w="17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40% sustainable by 2030 (39.9% achieved); 100% by 2050</w:t>
            </w:r>
          </w:p>
        </w:tc>
        <w:tc>
          <w:tcPr>
            <w:tcW w:type="dxa" w:w="17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Tokai Carbon JV (eCB from ELTs, NEDO-funded, pilot in Seki City Gifu, 2027 startup); Delta Energy Group; Cabot (sold Mexico CB plant to Cabot Aug 2025)</w:t>
            </w:r>
          </w:p>
        </w:tc>
        <w:tc>
          <w:tcPr>
            <w:tcW w:type="dxa" w:w="21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Marco Musaio — Head of End-of-Life Tire &amp; Circular Economy, Bridgestone Europe (rCB collab w/ Michelin)</w:t>
            </w:r>
          </w:p>
        </w:tc>
        <w:tc>
          <w:tcPr>
            <w:tcW w:type="dxa" w:w="2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Major plants Japan (15+), US (Tennessee, Ohio, Indiana, Texas, SC), Costa Rica, Brazil, Argentina, Italy (Bari), Poland (Stargard), Hungary (Tatabánya), Spain (Burgos, Puente San Miguel), Thailand, China, India</w:t>
            </w:r>
          </w:p>
        </w:tc>
      </w:tr>
      <w:tr>
        <w:tc>
          <w:tcPr>
            <w:tcW w:type="dxa" w:w="144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b/>
                <w:bCs/>
                <w:sz w:val="20"/>
                <w:szCs w:val="20"/>
              </w:rPr>
              <w:t xml:space="preserve">Goodyear</w:t>
            </w:r>
          </w:p>
        </w:tc>
        <w:tc>
          <w:tcPr>
            <w:tcW w:type="dxa" w:w="17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70% prototype already; 100% sustainable-material tire by 2030; 100% renewable electricity by 2030</w:t>
            </w:r>
          </w:p>
        </w:tc>
        <w:tc>
          <w:tcPr>
            <w:tcW w:type="dxa" w:w="17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Monolith Materials (methane pyrolysis CB; in ElectricDrive GT and ElectricDrive 2 — note Monolith has pivoted to heavy residual fuel oil feedstock per Feb/Mar 2026 Notch Consulting reporting)</w:t>
            </w:r>
          </w:p>
        </w:tc>
        <w:tc>
          <w:tcPr>
            <w:tcW w:type="dxa" w:w="21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Mark Stewart — CEO &amp; President; sustainability under Corporate Responsibility team (SBTi-verified targets, 2025 Climate Transition Plan published)</w:t>
            </w:r>
          </w:p>
        </w:tc>
        <w:tc>
          <w:tcPr>
            <w:tcW w:type="dxa" w:w="2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HQ Akron Ohio; US plants in Ohio, Alabama, North Carolina, Kansas, Oklahoma, Tennessee, Virginia; Mexico, Brazil, Chile, Colombia, Peru, plants in Luxembourg, Germany, France, Slovenia, Türkiye, Poland, Sumatra, Thailand, Philippines, China; Fayetteville NC closing by end-2027</w:t>
            </w:r>
          </w:p>
        </w:tc>
      </w:tr>
      <w:tr>
        <w:tc>
          <w:tcPr>
            <w:tcW w:type="dxa" w:w="144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b/>
                <w:bCs/>
                <w:sz w:val="20"/>
                <w:szCs w:val="20"/>
              </w:rPr>
              <w:t xml:space="preserve">Continental</w:t>
            </w:r>
          </w:p>
        </w:tc>
        <w:tc>
          <w:tcPr>
            <w:tcW w:type="dxa" w:w="17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&gt;40% renewable/recycled by 2030 (26% in 2024); 100% by 2050</w:t>
            </w:r>
          </w:p>
        </w:tc>
        <w:tc>
          <w:tcPr>
            <w:tcW w:type="dxa" w:w="17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Pyrum Innovations (10-yr rCB framework, advance payment, two plants); LANXESS (Vulkanox HS Scopeblue, ISCC PLUS — first tire maker to use)</w:t>
            </w:r>
          </w:p>
        </w:tc>
        <w:tc>
          <w:tcPr>
            <w:tcW w:type="dxa" w:w="21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Jorge Almeida — Head of Sustainability (since May 2023, reports to Christian Kötz, exec board); Steffen Ryssel — Head of Purchasing, Continental Tires</w:t>
            </w:r>
          </w:p>
        </w:tc>
        <w:tc>
          <w:tcPr>
            <w:tcW w:type="dxa" w:w="2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HQ Hanover; major plants Germany (Korbach for forklift tires with 100% rCB), Czechia (Otrokovice), Portugal (Lousado), Romania (Timişoara), Slovakia, France, Sweden (offline), US (Sumter SC, Mt Vernon IL, Mayfield KY), Mexico, Brazil, China, India, Malaysia, Thailand</w:t>
            </w:r>
          </w:p>
        </w:tc>
      </w:tr>
      <w:tr>
        <w:tc>
          <w:tcPr>
            <w:tcW w:type="dxa" w:w="144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b/>
                <w:bCs/>
                <w:sz w:val="20"/>
                <w:szCs w:val="20"/>
              </w:rPr>
              <w:t xml:space="preserve">Pirelli</w:t>
            </w:r>
          </w:p>
        </w:tc>
        <w:tc>
          <w:tcPr>
            <w:tcW w:type="dxa" w:w="17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70%+ sustainable tire delivered to JLR (July 2025); 50% sustainable by 2030; 100% FSC natural rubber in EU plants by 2026</w:t>
            </w:r>
          </w:p>
        </w:tc>
        <w:tc>
          <w:tcPr>
            <w:tcW w:type="dxa" w:w="17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Circular carbon black from pyrolysis oil (ELT route); FSC natural rubber; Bureau Veritas verified</w:t>
            </w:r>
          </w:p>
        </w:tc>
        <w:tc>
          <w:tcPr>
            <w:tcW w:type="dxa" w:w="21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Matteo Battaini — Head of Sustainability &amp; Future Mobility; Andrea Casaluci — Board director responsible for sustainability matters</w:t>
            </w:r>
          </w:p>
        </w:tc>
        <w:tc>
          <w:tcPr>
            <w:tcW w:type="dxa" w:w="2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HQ Milan; major plants Italy (Settimo Torinese, Bollate, Tivoli), Germany (Breuberg), UK (Burton/Carlisle), Romania (Slatina), Türkiye (Izmit), Mexico, Argentina (Merlo), Brazil (Campinas), Russia (Voronezh, off), China (Yanzhou), USA (Rome GA — under construction)</w:t>
            </w:r>
          </w:p>
        </w:tc>
      </w:tr>
    </w:tbl>
    <w:p>
      <w:pPr>
        <w:spacing w:after="120"/>
      </w:pPr>
      <w:r>
        <w:rPr>
          <w:rFonts w:ascii="Arial" w:cs="Arial" w:eastAsia="Arial" w:hAnsi="Arial"/>
          <w:sz w:val="22"/>
          <w:szCs w:val="22"/>
        </w:rPr>
        <w:t xml:space="preserve"/>
      </w:r>
    </w:p>
    <w:p>
      <w:pPr>
        <w:pStyle w:val="Heading2"/>
        <w:spacing w:after="140" w:before="280"/>
      </w:pPr>
      <w:r>
        <w:rPr>
          <w:rFonts w:ascii="Arial" w:cs="Arial" w:eastAsia="Arial" w:hAnsi="Arial"/>
          <w:b/>
          <w:bCs/>
          <w:sz w:val="26"/>
          <w:szCs w:val="26"/>
        </w:rPr>
        <w:t xml:space="preserve">2.2 Michelin — relationship play, not procurement play (yet)</w:t>
      </w:r>
    </w:p>
    <w:p>
      <w:pPr>
        <w:spacing w:after="120"/>
      </w:pPr>
      <w:r>
        <w:rPr>
          <w:rFonts w:ascii="Arial" w:cs="Arial" w:eastAsia="Arial" w:hAnsi="Arial"/>
          <w:i w:val="false"/>
          <w:iCs w:val="false"/>
          <w:sz w:val="22"/>
          <w:szCs w:val="22"/>
        </w:rPr>
        <w:t xml:space="preserve">Michelin is the most sophisticated buyer in the room and the one Quantom should approach via relationship, not RFQ. Fabien Gaboriaud — Senior Vice President of Sustainable Materials &amp; Circularity since July 2023 and Michelin's board representative at Scandinavian Enviro Systems — owns this decision globally. He holds a PhD in physical chemistry and 40+ years in materials research; he speaks the same scientific language as Mike. </w:t>
      </w:r>
      <w:r>
        <w:rPr>
          <w:rFonts w:ascii="Arial" w:cs="Arial" w:eastAsia="Arial" w:hAnsi="Arial"/>
          <w:i w:val="false"/>
          <w:iCs w:val="false"/>
          <w:sz w:val="22"/>
          <w:szCs w:val="22"/>
        </w:rPr>
        <w:t xml:space="preserve">Michelin's existing Enviro equity stake and 87% supplier-CSR compliance rate mean Michelin is not impulse-buying anyone; entry will be via a paid joint development agreement (JDA) tied to characterization milestones, not an offtake.</w:t>
      </w:r>
    </w:p>
    <w:p>
      <w:pPr>
        <w:spacing w:after="120"/>
      </w:pPr>
      <w:r>
        <w:rPr>
          <w:rFonts w:ascii="Arial" w:cs="Arial" w:eastAsia="Arial" w:hAnsi="Arial"/>
          <w:sz w:val="22"/>
          <w:szCs w:val="22"/>
        </w:rPr>
        <w:t xml:space="preserve">Action: Pre-NDA-extension move — Quantom should request a 30-minute follow-up with Gaboriaud's team referencing the existing NDA, lead with the 3.67:1 stoichiometry slide (slide 6/10 of v32) and the Yale Hailiang Wang quote, and ask for a paid characterization study against tire-grade specification at Clermont-Ferrand R&amp;D. The ask is not procurement — it is a paid technical evaluation. Reference: Bridgestone-Michelin Joint White Paper 2023 on rCB standards (rcbrubber.com), which Quantom's MRV pathway should align to.</w:t>
      </w:r>
    </w:p>
    <w:p>
      <w:pPr>
        <w:pStyle w:val="Heading2"/>
        <w:spacing w:after="140" w:before="280"/>
      </w:pPr>
      <w:r>
        <w:rPr>
          <w:rFonts w:ascii="Arial" w:cs="Arial" w:eastAsia="Arial" w:hAnsi="Arial"/>
          <w:b/>
          <w:bCs/>
          <w:sz w:val="26"/>
          <w:szCs w:val="26"/>
        </w:rPr>
        <w:t xml:space="preserve">2.3 Bridgestone — Tokai is the right door, not Bridgestone direct</w:t>
      </w:r>
    </w:p>
    <w:p>
      <w:pPr>
        <w:spacing w:after="120"/>
      </w:pPr>
      <w:r>
        <w:rPr>
          <w:rFonts w:ascii="Arial" w:cs="Arial" w:eastAsia="Arial" w:hAnsi="Arial"/>
          <w:i w:val="false"/>
          <w:iCs w:val="false"/>
          <w:sz w:val="22"/>
          <w:szCs w:val="22"/>
        </w:rPr>
        <w:t xml:space="preserve">Bridgestone has explicitly decided </w:t>
      </w:r>
      <w:r>
        <w:rPr>
          <w:rFonts w:ascii="Arial" w:cs="Arial" w:eastAsia="Arial" w:hAnsi="Arial"/>
          <w:i/>
          <w:iCs/>
          <w:sz w:val="22"/>
          <w:szCs w:val="22"/>
        </w:rPr>
        <w:t xml:space="preserve">not</w:t>
      </w:r>
      <w:r>
        <w:rPr>
          <w:rFonts w:ascii="Arial" w:cs="Arial" w:eastAsia="Arial" w:hAnsi="Arial"/>
          <w:i w:val="false"/>
          <w:iCs w:val="false"/>
          <w:sz w:val="22"/>
          <w:szCs w:val="22"/>
        </w:rPr>
        <w:t xml:space="preserve"> to rebuild in-house carbon black capacity. In July 2025 they sold their Thai carbon black plant (BSCB, Rayong) to Tokai Carbon, and in August 2025 they sold the Mexican Carbon Manufacturing plant to Cabot. The Bridgestone strategy from 2024-2026 Mid-Term Plan is to partner externally for CB supply. The Tokai-Bridgestone NEDO-funded joint project (December 2024) explicitly targets </w:t>
      </w:r>
      <w:r>
        <w:rPr>
          <w:rFonts w:ascii="Arial" w:cs="Arial" w:eastAsia="Arial" w:hAnsi="Arial"/>
          <w:i/>
          <w:iCs/>
          <w:sz w:val="22"/>
          <w:szCs w:val="22"/>
        </w:rPr>
        <w:t xml:space="preserve">eCB (eco Carbon Black) from ELTs and "other sources"</w:t>
      </w:r>
      <w:r>
        <w:rPr>
          <w:rFonts w:ascii="Arial" w:cs="Arial" w:eastAsia="Arial" w:hAnsi="Arial"/>
          <w:i w:val="false"/>
          <w:iCs w:val="false"/>
          <w:sz w:val="22"/>
          <w:szCs w:val="22"/>
        </w:rPr>
        <w:t xml:space="preserve"> — that "other sources" phrasing is the door Quantom should walk through. Tokai's pilot plant comes online in 2027 in Seki City, Gifu.</w:t>
      </w:r>
    </w:p>
    <w:p>
      <w:pPr>
        <w:spacing w:after="120"/>
      </w:pPr>
      <w:r>
        <w:rPr>
          <w:rFonts w:ascii="Arial" w:cs="Arial" w:eastAsia="Arial" w:hAnsi="Arial"/>
          <w:sz w:val="22"/>
          <w:szCs w:val="22"/>
        </w:rPr>
        <w:t xml:space="preserve">Action: Two parallel approaches. (1) Bridgestone Europe via Marco Musaio (Head of ELT &amp; Circular Economy) referencing the joint Bridgestone–Michelin rCB standards work. (2) Tokai Carbon CB directly — Mark Leigh, President of Tokai Carbon CB, has publicly committed Tokai to being "the world leader in sustainability" in carbon black with ISCC PLUS certification at two plants; the Tokai 2025-2030 R&amp;D vector is exactly aligned to Quantom's licensing thesis. Pitch Tokai as a recipe-licensee, not as a customer.</w:t>
      </w:r>
    </w:p>
    <w:p>
      <w:pPr>
        <w:pStyle w:val="Heading2"/>
        <w:spacing w:after="140" w:before="280"/>
      </w:pPr>
      <w:r>
        <w:rPr>
          <w:rFonts w:ascii="Arial" w:cs="Arial" w:eastAsia="Arial" w:hAnsi="Arial"/>
          <w:b/>
          <w:bCs/>
          <w:sz w:val="26"/>
          <w:szCs w:val="26"/>
        </w:rPr>
        <w:t xml:space="preserve">2.4 Goodyear — Monolith's pivot is a wedge</w:t>
      </w:r>
    </w:p>
    <w:p>
      <w:pPr>
        <w:spacing w:after="120"/>
      </w:pPr>
      <w:r>
        <w:rPr>
          <w:rFonts w:ascii="Arial" w:cs="Arial" w:eastAsia="Arial" w:hAnsi="Arial"/>
          <w:i w:val="false"/>
          <w:iCs w:val="false"/>
          <w:sz w:val="22"/>
          <w:szCs w:val="22"/>
        </w:rPr>
        <w:t xml:space="preserve">Goodyear made a public, exclusive bet on Monolith starting December 2021, with the first commercial use in the ElectricDrive GT tire in May 2023 (Olive Creek 1, Hallam NE, 14,000 t/yr). Monolith's expansion to 194,000 t/yr at Olive Creek 2 has slipped from 2025 to 2026 estimated completion, and </w:t>
      </w:r>
      <w:r>
        <w:rPr>
          <w:rFonts w:ascii="Arial" w:cs="Arial" w:eastAsia="Arial" w:hAnsi="Arial"/>
          <w:i/>
          <w:iCs/>
          <w:sz w:val="22"/>
          <w:szCs w:val="22"/>
        </w:rPr>
        <w:t xml:space="preserve">Monolith has pivoted away from methane pyrolysis to heavy residual fuel oil feedstock — meaning Monolith's "clean" claim no longer rests on natural-gas pyrolysis with hydrogen by-product. </w:t>
      </w:r>
      <w:r>
        <w:rPr>
          <w:rFonts w:ascii="Arial" w:cs="Arial" w:eastAsia="Arial" w:hAnsi="Arial"/>
          <w:i w:val="false"/>
          <w:iCs w:val="false"/>
          <w:sz w:val="22"/>
          <w:szCs w:val="22"/>
        </w:rPr>
        <w:t xml:space="preserve">Goodyear now has a stranded sustainability narrative that needs reinforcement. </w:t>
      </w:r>
      <w:r>
        <w:rPr>
          <w:rFonts w:ascii="Arial" w:cs="Arial" w:eastAsia="Arial" w:hAnsi="Arial"/>
          <w:b/>
          <w:bCs/>
          <w:i/>
          <w:iCs/>
          <w:sz w:val="22"/>
          <w:szCs w:val="22"/>
        </w:rPr>
        <w:t xml:space="preserve">This is exactly the moment Quantom can position itself as a Plan B for Goodyear.</w:t>
      </w:r>
    </w:p>
    <w:p>
      <w:pPr>
        <w:spacing w:after="120"/>
      </w:pPr>
      <w:r>
        <w:rPr>
          <w:rFonts w:ascii="Arial" w:cs="Arial" w:eastAsia="Arial" w:hAnsi="Arial"/>
          <w:sz w:val="22"/>
          <w:szCs w:val="22"/>
        </w:rPr>
        <w:t xml:space="preserve">Action: Approach via Goodyear Innovation Center in Akron, Ohio. Use the Goodyear 2025 Climate Transition Plan (corporate.goodyear.com, December 2025) as the framing document. Goodyear has SBTi-verified Scope 1+2 reduction targets and a 100% sustainable-material tire ambition for 2030. The pitch: "Your single-source Monolith plan has pivoted; here is a CO2-feedstock alternative that strengthens your SBTi narrative." Mention the ElectricDrive Sustainable-material Tire (EDS, launched China November 2024) as the natural extension product.</w:t>
      </w:r>
    </w:p>
    <w:p>
      <w:pPr>
        <w:pStyle w:val="Heading2"/>
        <w:spacing w:after="140" w:before="280"/>
      </w:pPr>
      <w:r>
        <w:rPr>
          <w:rFonts w:ascii="Arial" w:cs="Arial" w:eastAsia="Arial" w:hAnsi="Arial"/>
          <w:b/>
          <w:bCs/>
          <w:sz w:val="26"/>
          <w:szCs w:val="26"/>
        </w:rPr>
        <w:t xml:space="preserve">2.5 Continental — Korbach gives Quantom a clean physical entry</w:t>
      </w:r>
    </w:p>
    <w:p>
      <w:pPr>
        <w:spacing w:after="120"/>
      </w:pPr>
      <w:r>
        <w:rPr>
          <w:rFonts w:ascii="Arial" w:cs="Arial" w:eastAsia="Arial" w:hAnsi="Arial"/>
          <w:i w:val="false"/>
          <w:iCs w:val="false"/>
          <w:sz w:val="22"/>
          <w:szCs w:val="22"/>
        </w:rPr>
        <w:t xml:space="preserve">Continental's Korbach plant (Hesse, Germany) already produces forklift tires with 100% Pyrum-recovered carbon black. That facility is doing exactly the qualification work Quantom needs to enter. Jorge Almeida (Head of Sustainability) and Steffen Ryssel (Head of Purchasing, Continental Tires) are the two named contacts. </w:t>
      </w:r>
      <w:r>
        <w:rPr>
          <w:rFonts w:ascii="Arial" w:cs="Arial" w:eastAsia="Arial" w:hAnsi="Arial"/>
          <w:i w:val="false"/>
          <w:iCs w:val="false"/>
          <w:sz w:val="22"/>
          <w:szCs w:val="22"/>
        </w:rPr>
        <w:t xml:space="preserve">Continental is also the first tire maker to use LANXESS Vulkanox HS Scopeblue (September 2025), which means Continental procurement has working ISCC PLUS mass-balance infrastructure already in place — Quantom's eventual ISCC PLUS or Puro certification will plug in cleanly.</w:t>
      </w:r>
    </w:p>
    <w:p>
      <w:pPr>
        <w:spacing w:after="120"/>
      </w:pPr>
      <w:r>
        <w:rPr>
          <w:rFonts w:ascii="Arial" w:cs="Arial" w:eastAsia="Arial" w:hAnsi="Arial"/>
          <w:sz w:val="22"/>
          <w:szCs w:val="22"/>
        </w:rPr>
        <w:t xml:space="preserve">Action: Korbach is a 4-hour drive from Snekkersten — physically convenient for Mike's Aeroborn relationships and Murat's Denmark base. Request a Continental Tires R&amp;D site visit at Korbach with sample exchange. The opening is the LANXESS Scopeblue precedent: ISCC PLUS mass-balance carbon is already accepted in Continental's compounding, so Quantom's electrochemical carbon (once ISCC PLUS or Puro certified) is incrementally less risky than a brand-new molecule.</w:t>
      </w:r>
    </w:p>
    <w:p>
      <w:pPr>
        <w:pStyle w:val="Heading2"/>
        <w:spacing w:after="140" w:before="280"/>
      </w:pPr>
      <w:r>
        <w:rPr>
          <w:rFonts w:ascii="Arial" w:cs="Arial" w:eastAsia="Arial" w:hAnsi="Arial"/>
          <w:b/>
          <w:bCs/>
          <w:sz w:val="26"/>
          <w:szCs w:val="26"/>
        </w:rPr>
        <w:t xml:space="preserve">2.6 Pirelli — luxury OEM channel, premium pricing tolerance</w:t>
      </w:r>
    </w:p>
    <w:p>
      <w:pPr>
        <w:spacing w:after="120"/>
      </w:pPr>
      <w:r>
        <w:rPr>
          <w:rFonts w:ascii="Arial" w:cs="Arial" w:eastAsia="Arial" w:hAnsi="Arial"/>
          <w:i w:val="false"/>
          <w:iCs w:val="false"/>
          <w:sz w:val="22"/>
          <w:szCs w:val="22"/>
        </w:rPr>
        <w:t xml:space="preserve">Pirelli is the smallest of the five (~4% global share) but the highest-pricing-tolerance entry point. The Pirelli P Zero for JLR Range Rover (launched July 2025) hit 70%+ bio-based and recycled materials, Bureau Veritas verified, on a single SKU. Pirelli's natural-rubber FSC certification target — 100% in European plants by 2026 — is the public-commitment </w:t>
      </w:r>
      <w:r>
        <w:rPr>
          <w:rFonts w:ascii="Arial" w:cs="Arial" w:eastAsia="Arial" w:hAnsi="Arial"/>
          <w:i/>
          <w:iCs/>
          <w:sz w:val="22"/>
          <w:szCs w:val="22"/>
        </w:rPr>
        <w:t xml:space="preserve">deadline</w:t>
      </w:r>
      <w:r>
        <w:rPr>
          <w:rFonts w:ascii="Arial" w:cs="Arial" w:eastAsia="Arial" w:hAnsi="Arial"/>
          <w:i w:val="false"/>
          <w:iCs w:val="false"/>
          <w:sz w:val="22"/>
          <w:szCs w:val="22"/>
        </w:rPr>
        <w:t xml:space="preserve"> Pirelli is racing toward. Carbon black is their next pressure point.</w:t>
      </w:r>
    </w:p>
    <w:p>
      <w:pPr>
        <w:spacing w:after="120"/>
      </w:pPr>
      <w:r>
        <w:rPr>
          <w:rFonts w:ascii="Arial" w:cs="Arial" w:eastAsia="Arial" w:hAnsi="Arial"/>
          <w:sz w:val="22"/>
          <w:szCs w:val="22"/>
        </w:rPr>
        <w:t xml:space="preserve">Action: Two paths. (1) Direct to Pirelli R&amp;D via Matteo Battaini (Head of Sustainability &amp; Future Mobility, Milan) with the JLR Range Rover tire as the reference case — Pirelli already proved they can launch a single-SKU sustainable premium tire at scale. (2) Indirect through JLR procurement (Reuben Chorley, Sustainable Industrial Operations Director, JLR) — JLR is the demand-side anchor that opened the Pirelli premium-sustainable channel and could anchor a Quantom-Pirelli pilot the same way.</w:t>
      </w:r>
    </w:p>
    <w:p>
      <w:pPr>
        <w:pStyle w:val="Heading1"/>
        <w:spacing w:after="140" w:before="280"/>
      </w:pPr>
      <w:r>
        <w:rPr>
          <w:rFonts w:ascii="Arial" w:cs="Arial" w:eastAsia="Arial" w:hAnsi="Arial"/>
          <w:b/>
          <w:bCs/>
          <w:sz w:val="32"/>
          <w:szCs w:val="32"/>
        </w:rPr>
        <w:t xml:space="preserve">3. Carbon Black Producers — License the Reactor, Don't Replace Them</w:t>
      </w:r>
    </w:p>
    <w:p>
      <w:pPr>
        <w:spacing w:after="120"/>
      </w:pPr>
      <w:r>
        <w:rPr>
          <w:rFonts w:ascii="Arial" w:cs="Arial" w:eastAsia="Arial" w:hAnsi="Arial"/>
          <w:i w:val="false"/>
          <w:iCs w:val="false"/>
          <w:sz w:val="22"/>
          <w:szCs w:val="22"/>
        </w:rPr>
        <w:t xml:space="preserve">A non-obvious but important re-framing: Quantom does not need to win head-on against the global carbon black majors (Cabot, Birla, Orion, Tokai). The deck (slides 20-21) is explicit about this — the moat is recipes plus an IP licensing strategy. The right business model is to license the Quantom reactor as a brownfield retrofit into the existing carbon black majors' plants, not to build greenfield Quantom plants. </w:t>
      </w:r>
      <w:r>
        <w:rPr>
          <w:rFonts w:ascii="Arial" w:cs="Arial" w:eastAsia="Arial" w:hAnsi="Arial"/>
          <w:b/>
          <w:bCs/>
          <w:i/>
          <w:iCs/>
          <w:sz w:val="22"/>
          <w:szCs w:val="22"/>
        </w:rPr>
        <w:t xml:space="preserve">Three of the four majors have already publicly committed to integrating sustainable-carbon technology partnerships. They are buyers, not competitors.</w:t>
      </w:r>
    </w:p>
    <w:p>
      <w:pPr>
        <w:pStyle w:val="Heading2"/>
        <w:spacing w:after="140" w:before="280"/>
      </w:pPr>
      <w:r>
        <w:rPr>
          <w:rFonts w:ascii="Arial" w:cs="Arial" w:eastAsia="Arial" w:hAnsi="Arial"/>
          <w:b/>
          <w:bCs/>
          <w:sz w:val="26"/>
          <w:szCs w:val="26"/>
        </w:rPr>
        <w:t xml:space="preserve">3.1 Carbon black manufacturer scorecard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1800"/>
        <w:gridCol w:w="2680"/>
        <w:gridCol w:w="3380"/>
      </w:tblGrid>
      <w:tr>
        <w:trPr>
          <w:tblHeader/>
        </w:trPr>
        <w:tc>
          <w:tcPr>
            <w:tcW w:type="dxa" w:w="15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pPr>
              <w:spacing w:after="40"/>
            </w:pPr>
            <w:r>
              <w:rPr>
                <w:rFonts w:ascii="Arial" w:cs="Arial" w:eastAsia="Arial" w:hAnsi="Arial"/>
                <w:b/>
                <w:bCs/>
                <w:sz w:val="20"/>
                <w:szCs w:val="20"/>
              </w:rPr>
              <w:t xml:space="preserve">Producer</w:t>
            </w:r>
          </w:p>
        </w:tc>
        <w:tc>
          <w:tcPr>
            <w:tcW w:type="dxa" w:w="18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pPr>
              <w:spacing w:after="40"/>
            </w:pPr>
            <w:r>
              <w:rPr>
                <w:rFonts w:ascii="Arial" w:cs="Arial" w:eastAsia="Arial" w:hAnsi="Arial"/>
                <w:b/>
                <w:bCs/>
                <w:sz w:val="20"/>
                <w:szCs w:val="20"/>
              </w:rPr>
              <w:t xml:space="preserve">Capacity / position</w:t>
            </w:r>
          </w:p>
        </w:tc>
        <w:tc>
          <w:tcPr>
            <w:tcW w:type="dxa" w:w="268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pPr>
              <w:spacing w:after="40"/>
            </w:pPr>
            <w:r>
              <w:rPr>
                <w:rFonts w:ascii="Arial" w:cs="Arial" w:eastAsia="Arial" w:hAnsi="Arial"/>
                <w:b/>
                <w:bCs/>
                <w:sz w:val="20"/>
                <w:szCs w:val="20"/>
              </w:rPr>
              <w:t xml:space="preserve">Sustainable-carbon strategy</w:t>
            </w:r>
          </w:p>
        </w:tc>
        <w:tc>
          <w:tcPr>
            <w:tcW w:type="dxa" w:w="338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pPr>
              <w:spacing w:after="40"/>
            </w:pPr>
            <w:r>
              <w:rPr>
                <w:rFonts w:ascii="Arial" w:cs="Arial" w:eastAsia="Arial" w:hAnsi="Arial"/>
                <w:b/>
                <w:bCs/>
                <w:sz w:val="20"/>
                <w:szCs w:val="20"/>
              </w:rPr>
              <w:t xml:space="preserve">Quantom angle</w:t>
            </w:r>
          </w:p>
        </w:tc>
      </w:tr>
      <w:tr>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b/>
                <w:bCs/>
                <w:sz w:val="20"/>
                <w:szCs w:val="20"/>
              </w:rPr>
              <w:t xml:space="preserve">Cabot Corporation</w:t>
            </w:r>
          </w:p>
        </w:tc>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Largest US CB producer; acquired Bridgestone Mexico CB plant Aug 2025</w:t>
            </w:r>
          </w:p>
        </w:tc>
        <w:tc>
          <w:tcPr>
            <w:tcW w:type="dxa" w:w="268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ISCC PLUS-certified sustainable CB; $50M+ investment in Ohio and Texas activated carbon plants 2024; circular feedstocks</w:t>
            </w:r>
          </w:p>
        </w:tc>
        <w:tc>
          <w:tcPr>
            <w:tcW w:type="dxa" w:w="338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Cabot is now Bridgestone's strategic CB partner. License pitch: brownfield electrochemical retrofit at acquired Mexico plant or US facilities. Reference their existing Bridgestone-Cabot supply contract as door-opener.</w:t>
            </w:r>
          </w:p>
        </w:tc>
      </w:tr>
      <w:tr>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b/>
                <w:bCs/>
                <w:sz w:val="20"/>
                <w:szCs w:val="20"/>
              </w:rPr>
              <w:t xml:space="preserve">Birla Carbon</w:t>
            </w:r>
          </w:p>
        </w:tc>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World's largest CB producer; 2 MMTPA capacity</w:t>
            </w:r>
          </w:p>
        </w:tc>
        <w:tc>
          <w:tcPr>
            <w:tcW w:type="dxa" w:w="268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Continua™ Sustainable Carbonaceous Material (with Circtec); new line in Trecate, Italy; CACM 2026 conference co-host</w:t>
            </w:r>
          </w:p>
        </w:tc>
        <w:tc>
          <w:tcPr>
            <w:tcW w:type="dxa" w:w="338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Most aggressive on sustainable narrative. Anil Nandakumar (Global Market Development Lead, Sustainable Solutions) is the named contact. Pitch a JDA on Quantom-produced material slotting into Continua brand.</w:t>
            </w:r>
          </w:p>
        </w:tc>
      </w:tr>
      <w:tr>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b/>
                <w:bCs/>
                <w:sz w:val="20"/>
                <w:szCs w:val="20"/>
              </w:rPr>
              <w:t xml:space="preserve">Orion Engineered Carbons</w:t>
            </w:r>
          </w:p>
        </w:tc>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German/Lux-headquartered; specialty + tire CB</w:t>
            </w:r>
          </w:p>
        </w:tc>
        <w:tc>
          <w:tcPr>
            <w:tcW w:type="dxa" w:w="268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Exclusive long-term tire pyrolysis oil offtake from Alpha Carbone (Feb 2025); partner with rising on rCB</w:t>
            </w:r>
          </w:p>
        </w:tc>
        <w:tc>
          <w:tcPr>
            <w:tcW w:type="dxa" w:w="338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David Deters (SVP) has publicly committed Orion to the sustainability strategy. Orion's specialty-grade portfolio is the right channel for Quantom's Phase II carbon black recipes ($25-50K/t).</w:t>
            </w:r>
          </w:p>
        </w:tc>
      </w:tr>
      <w:tr>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b/>
                <w:bCs/>
                <w:sz w:val="20"/>
                <w:szCs w:val="20"/>
              </w:rPr>
              <w:t xml:space="preserve">Tokai Carbon</w:t>
            </w:r>
          </w:p>
        </w:tc>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Japanese; acquired Bridgestone Thai CB Aug 2025; ISCC PLUS at 2 plants</w:t>
            </w:r>
          </w:p>
        </w:tc>
        <w:tc>
          <w:tcPr>
            <w:tcW w:type="dxa" w:w="268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Joint eCB project with Bridgestone, Kyushu Univ, Okayama Univ — NEDO funded, Dec 2024</w:t>
            </w:r>
          </w:p>
        </w:tc>
        <w:tc>
          <w:tcPr>
            <w:tcW w:type="dxa" w:w="338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Most technically aligned partner. Mark Leigh (President Tokai Carbon CB) public sustainability commitment. Reference NEDO-funded project explicitly — Quantom is exactly the "other source" beyond ELTs.</w:t>
            </w:r>
          </w:p>
        </w:tc>
      </w:tr>
    </w:tbl>
    <w:p>
      <w:pPr>
        <w:spacing w:after="120"/>
      </w:pPr>
      <w:r>
        <w:rPr>
          <w:rFonts w:ascii="Arial" w:cs="Arial" w:eastAsia="Arial" w:hAnsi="Arial"/>
          <w:sz w:val="22"/>
          <w:szCs w:val="22"/>
        </w:rPr>
        <w:t xml:space="preserve">Action: Add Carbon Black World Asia 2026 (Shanghai, April 22-23, 2026) and Recovered Carbon Black Europe 2026 (Amsterdam Schiphol, November 3-5, 2026) to Mike's travel plan. These two conferences put every named individual in this section in the same room. Martin von Wolfersdorff (Wolfersdorff Consulting Berlin) is the recognized neutral broker of the sustainable carbon black community and the founder of the Recovered Carbon Black Conference — a 30-minute meeting with him in Berlin would be the single highest-ROI relationship in this entire industry.</w:t>
      </w:r>
    </w:p>
    <w:p>
      <w:pPr>
        <w:pStyle w:val="Heading1"/>
        <w:spacing w:after="140" w:before="280"/>
      </w:pPr>
      <w:r>
        <w:rPr>
          <w:rFonts w:ascii="Arial" w:cs="Arial" w:eastAsia="Arial" w:hAnsi="Arial"/>
          <w:b/>
          <w:bCs/>
          <w:sz w:val="32"/>
          <w:szCs w:val="32"/>
        </w:rPr>
        <w:t xml:space="preserve">4. Industry Events and Standards Bodies — Where Decisions Get Made</w:t>
      </w:r>
    </w:p>
    <w:p>
      <w:pPr>
        <w:spacing w:after="120"/>
      </w:pPr>
      <w:r>
        <w:rPr>
          <w:rFonts w:ascii="Arial" w:cs="Arial" w:eastAsia="Arial" w:hAnsi="Arial"/>
          <w:sz w:val="22"/>
          <w:szCs w:val="22"/>
        </w:rPr>
        <w:t xml:space="preserve">The procurement decisions in this industry do not happen in RFPs. They happen at six recurring industry events and through three industry-standards bodies. Quantom should plan at least one founder-attended event in each of the next four quarters.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600"/>
        <w:gridCol w:w="1700"/>
        <w:gridCol w:w="3660"/>
      </w:tblGrid>
      <w:tr>
        <w:trPr>
          <w:tblHeader/>
        </w:trPr>
        <w:tc>
          <w:tcPr>
            <w:tcW w:type="dxa" w:w="24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pPr>
              <w:spacing w:after="40"/>
            </w:pPr>
            <w:r>
              <w:rPr>
                <w:rFonts w:ascii="Arial" w:cs="Arial" w:eastAsia="Arial" w:hAnsi="Arial"/>
                <w:b/>
                <w:bCs/>
                <w:sz w:val="20"/>
                <w:szCs w:val="20"/>
              </w:rPr>
              <w:t xml:space="preserve">Event / body</w:t>
            </w:r>
          </w:p>
        </w:tc>
        <w:tc>
          <w:tcPr>
            <w:tcW w:type="dxa" w:w="16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pPr>
              <w:spacing w:after="40"/>
            </w:pPr>
            <w:r>
              <w:rPr>
                <w:rFonts w:ascii="Arial" w:cs="Arial" w:eastAsia="Arial" w:hAnsi="Arial"/>
                <w:b/>
                <w:bCs/>
                <w:sz w:val="20"/>
                <w:szCs w:val="20"/>
              </w:rPr>
              <w:t xml:space="preserve">Next date</w:t>
            </w:r>
          </w:p>
        </w:tc>
        <w:tc>
          <w:tcPr>
            <w:tcW w:type="dxa" w:w="17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pPr>
              <w:spacing w:after="40"/>
            </w:pPr>
            <w:r>
              <w:rPr>
                <w:rFonts w:ascii="Arial" w:cs="Arial" w:eastAsia="Arial" w:hAnsi="Arial"/>
                <w:b/>
                <w:bCs/>
                <w:sz w:val="20"/>
                <w:szCs w:val="20"/>
              </w:rPr>
              <w:t xml:space="preserve">Location</w:t>
            </w:r>
          </w:p>
        </w:tc>
        <w:tc>
          <w:tcPr>
            <w:tcW w:type="dxa" w:w="366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pPr>
              <w:spacing w:after="40"/>
            </w:pPr>
            <w:r>
              <w:rPr>
                <w:rFonts w:ascii="Arial" w:cs="Arial" w:eastAsia="Arial" w:hAnsi="Arial"/>
                <w:b/>
                <w:bCs/>
                <w:sz w:val="20"/>
                <w:szCs w:val="20"/>
              </w:rPr>
              <w:t xml:space="preserve">Why it matters for Quantom</w:t>
            </w:r>
          </w:p>
        </w:tc>
      </w:tr>
      <w:tr>
        <w:tc>
          <w:tcPr>
            <w:tcW w:type="dxa" w:w="24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b/>
                <w:bCs/>
                <w:sz w:val="20"/>
                <w:szCs w:val="20"/>
              </w:rPr>
              <w:t xml:space="preserve">Carbon Black World Asia 2026 (Smithers)</w:t>
            </w:r>
          </w:p>
        </w:tc>
        <w:tc>
          <w:tcPr>
            <w:tcW w:type="dxa" w:w="16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April 22-23, 2026</w:t>
            </w:r>
          </w:p>
        </w:tc>
        <w:tc>
          <w:tcPr>
            <w:tcW w:type="dxa" w:w="17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Shanghai</w:t>
            </w:r>
          </w:p>
        </w:tc>
        <w:tc>
          <w:tcPr>
            <w:tcW w:type="dxa" w:w="36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Every major CB producer + Michelin, Linglong, BKT in one room. Best single event to meet Tokai, Birla, Cabot, Black Cat technical buyers.</w:t>
            </w:r>
          </w:p>
        </w:tc>
      </w:tr>
      <w:tr>
        <w:tc>
          <w:tcPr>
            <w:tcW w:type="dxa" w:w="24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b/>
                <w:bCs/>
                <w:sz w:val="20"/>
                <w:szCs w:val="20"/>
              </w:rPr>
              <w:t xml:space="preserve">Tire Technology Expo 2026</w:t>
            </w:r>
          </w:p>
        </w:tc>
        <w:tc>
          <w:tcPr>
            <w:tcW w:type="dxa" w:w="16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Annually, Hanover</w:t>
            </w:r>
          </w:p>
        </w:tc>
        <w:tc>
          <w:tcPr>
            <w:tcW w:type="dxa" w:w="17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Hanover, Germany</w:t>
            </w:r>
          </w:p>
        </w:tc>
        <w:tc>
          <w:tcPr>
            <w:tcW w:type="dxa" w:w="36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Michelin (Garance Lopitaux, Christophe Durand), Continental (Jorge Lacayo-Pineda), Toyo, Pirelli, TIP, Wolfersdorff Consulting — all on the speaker list. The industry's annual technical gathering.</w:t>
            </w:r>
          </w:p>
        </w:tc>
      </w:tr>
      <w:tr>
        <w:tc>
          <w:tcPr>
            <w:tcW w:type="dxa" w:w="24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b/>
                <w:bCs/>
                <w:sz w:val="20"/>
                <w:szCs w:val="20"/>
              </w:rPr>
              <w:t xml:space="preserve">Recovered Carbon Black Europe 2026 (Smithers)</w:t>
            </w:r>
          </w:p>
        </w:tc>
        <w:tc>
          <w:tcPr>
            <w:tcW w:type="dxa" w:w="16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November 3-5, 2026</w:t>
            </w:r>
          </w:p>
        </w:tc>
        <w:tc>
          <w:tcPr>
            <w:tcW w:type="dxa" w:w="17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Amsterdam Schiphol</w:t>
            </w:r>
          </w:p>
        </w:tc>
        <w:tc>
          <w:tcPr>
            <w:tcW w:type="dxa" w:w="36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350+ rCB delegates. Martin von Wolfersdorff anchors. The conference where Bridgestone-Michelin first publicly committed to rCB collaboration in 2021. Quantom should at minimum attend; ideally present.</w:t>
            </w:r>
          </w:p>
        </w:tc>
      </w:tr>
      <w:tr>
        <w:tc>
          <w:tcPr>
            <w:tcW w:type="dxa" w:w="24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b/>
                <w:bCs/>
                <w:sz w:val="20"/>
                <w:szCs w:val="20"/>
              </w:rPr>
              <w:t xml:space="preserve">Future Tire Conference 2026</w:t>
            </w:r>
          </w:p>
        </w:tc>
        <w:tc>
          <w:tcPr>
            <w:tcW w:type="dxa" w:w="16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Autumn 2026</w:t>
            </w:r>
          </w:p>
        </w:tc>
        <w:tc>
          <w:tcPr>
            <w:tcW w:type="dxa" w:w="17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Cologne / Essen</w:t>
            </w:r>
          </w:p>
        </w:tc>
        <w:tc>
          <w:tcPr>
            <w:tcW w:type="dxa" w:w="36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European Rubber Journal's senior-executive event. 2025 speakers included Bekaert, Birla Carbon, Bridgestone, Kuraray, Nokian, UPM Biochemicals. CEO-level discussions.</w:t>
            </w:r>
          </w:p>
        </w:tc>
      </w:tr>
      <w:tr>
        <w:tc>
          <w:tcPr>
            <w:tcW w:type="dxa" w:w="24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b/>
                <w:bCs/>
                <w:sz w:val="20"/>
                <w:szCs w:val="20"/>
              </w:rPr>
              <w:t xml:space="preserve">Tire Industry Project (TIP) — WBCSD</w:t>
            </w:r>
          </w:p>
        </w:tc>
        <w:tc>
          <w:tcPr>
            <w:tcW w:type="dxa" w:w="16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Ongoing</w:t>
            </w:r>
          </w:p>
        </w:tc>
        <w:tc>
          <w:tcPr>
            <w:tcW w:type="dxa" w:w="17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Geneva-based</w:t>
            </w:r>
          </w:p>
        </w:tc>
        <w:tc>
          <w:tcPr>
            <w:tcW w:type="dxa" w:w="36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10 tire majors representing 60-65% of world tire manufacturing capacity. Co-chaired by Bridgestone, Continental, Goodyear, Michelin. Updated PCR (Product Category Rules) published March 2026 with UL Environment — defines tire LCA methodology. Quantom MRV must align.</w:t>
            </w:r>
          </w:p>
        </w:tc>
      </w:tr>
      <w:tr>
        <w:tc>
          <w:tcPr>
            <w:tcW w:type="dxa" w:w="24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b/>
                <w:bCs/>
                <w:sz w:val="20"/>
                <w:szCs w:val="20"/>
              </w:rPr>
              <w:t xml:space="preserve">Traction Summit</w:t>
            </w:r>
          </w:p>
        </w:tc>
        <w:tc>
          <w:tcPr>
            <w:tcW w:type="dxa" w:w="16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Autumn 2026</w:t>
            </w:r>
          </w:p>
        </w:tc>
        <w:tc>
          <w:tcPr>
            <w:tcW w:type="dxa" w:w="17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Charleston, SC</w:t>
            </w:r>
          </w:p>
        </w:tc>
        <w:tc>
          <w:tcPr>
            <w:tcW w:type="dxa" w:w="36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North American tire supply chain. Michelin North America (Greenville HQ), Goodyear, OEMs. Britton (Michelin NA, industry standards &amp; gov regulations) is on the program.</w:t>
            </w:r>
          </w:p>
        </w:tc>
      </w:tr>
      <w:tr>
        <w:tc>
          <w:tcPr>
            <w:tcW w:type="dxa" w:w="24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b/>
                <w:bCs/>
                <w:sz w:val="20"/>
                <w:szCs w:val="20"/>
              </w:rPr>
              <w:t xml:space="preserve">Recovered Carbon Black Asia (Smithers)</w:t>
            </w:r>
          </w:p>
        </w:tc>
        <w:tc>
          <w:tcPr>
            <w:tcW w:type="dxa" w:w="16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Co-located with Sustainability in Tires</w:t>
            </w:r>
          </w:p>
        </w:tc>
        <w:tc>
          <w:tcPr>
            <w:tcW w:type="dxa" w:w="17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Asia (rotating)</w:t>
            </w:r>
          </w:p>
        </w:tc>
        <w:tc>
          <w:tcPr>
            <w:tcW w:type="dxa" w:w="36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200+ delegates; pyrolysis operators, tire makers, end users. Right venue for Tokai relationship-building.</w:t>
            </w:r>
          </w:p>
        </w:tc>
      </w:tr>
    </w:tbl>
    <w:p>
      <w:r>
        <w:br w:type="page"/>
      </w:r>
    </w:p>
    <w:p>
      <w:pPr>
        <w:pStyle w:val="Heading1"/>
        <w:spacing w:after="140" w:before="280"/>
      </w:pPr>
      <w:r>
        <w:rPr>
          <w:rFonts w:ascii="Arial" w:cs="Arial" w:eastAsia="Arial" w:hAnsi="Arial"/>
          <w:b/>
          <w:bCs/>
          <w:sz w:val="32"/>
          <w:szCs w:val="32"/>
        </w:rPr>
        <w:t xml:space="preserve">5. Battery Coatings — Does the Tire Mandate Repeat?</w:t>
      </w:r>
    </w:p>
    <w:p>
      <w:pPr>
        <w:spacing w:after="120"/>
      </w:pPr>
      <w:r>
        <w:rPr>
          <w:rFonts w:ascii="Arial" w:cs="Arial" w:eastAsia="Arial" w:hAnsi="Arial"/>
          <w:sz w:val="22"/>
          <w:szCs w:val="22"/>
        </w:rPr>
        <w:t xml:space="preserve">The user's question: does the battery industry have CO2 reduction mandates similar to the tire industry? The answer is yes — and the mandate is in some ways stronger because it is binding regulation, not voluntary corporate pledge.</w:t>
      </w:r>
    </w:p>
    <w:p>
      <w:pPr>
        <w:pStyle w:val="Heading2"/>
        <w:spacing w:after="140" w:before="280"/>
      </w:pPr>
      <w:r>
        <w:rPr>
          <w:rFonts w:ascii="Arial" w:cs="Arial" w:eastAsia="Arial" w:hAnsi="Arial"/>
          <w:b/>
          <w:bCs/>
          <w:sz w:val="26"/>
          <w:szCs w:val="26"/>
        </w:rPr>
        <w:t xml:space="preserve">5.1 The regulatory architecture for batteries</w:t>
      </w:r>
    </w:p>
    <w:p>
      <w:pPr>
        <w:spacing w:after="120"/>
      </w:pPr>
      <w:r>
        <w:rPr>
          <w:rFonts w:ascii="Arial" w:cs="Arial" w:eastAsia="Arial" w:hAnsi="Arial"/>
          <w:b/>
          <w:bCs/>
          <w:sz w:val="22"/>
          <w:szCs w:val="22"/>
        </w:rPr>
        <w:t xml:space="preserve">EU Battery Regulation (EU) 2023/1542</w:t>
      </w:r>
      <w:r>
        <w:rPr>
          <w:rFonts w:ascii="Arial" w:cs="Arial" w:eastAsia="Arial" w:hAnsi="Arial"/>
          <w:i w:val="false"/>
          <w:iCs w:val="false"/>
          <w:sz w:val="22"/>
          <w:szCs w:val="22"/>
        </w:rPr>
        <w:t xml:space="preserve"> is now the single most important policy instrument for battery-grade materials. It is fully binding, not voluntary, and the carbon-footprint deadlines are biting now:</w:t>
      </w:r>
    </w:p>
    <w:p>
      <w:pPr>
        <w:pStyle w:val="ListParagraph"/>
        <w:numPr>
          <w:ilvl w:val="0"/>
          <w:numId w:val="3"/>
        </w:numPr>
        <w:spacing w:after="80"/>
      </w:pPr>
      <w:r>
        <w:rPr>
          <w:rFonts w:ascii="Arial" w:cs="Arial" w:eastAsia="Arial" w:hAnsi="Arial"/>
          <w:b/>
          <w:bCs/>
          <w:sz w:val="22"/>
          <w:szCs w:val="22"/>
        </w:rPr>
        <w:t xml:space="preserve">February 18, 2025: </w:t>
      </w:r>
      <w:r>
        <w:rPr>
          <w:rFonts w:ascii="Arial" w:cs="Arial" w:eastAsia="Arial" w:hAnsi="Arial"/>
          <w:sz w:val="22"/>
          <w:szCs w:val="22"/>
        </w:rPr>
        <w:t xml:space="preserve">Carbon footprint declaration mandatory for EV batteries</w:t>
      </w:r>
    </w:p>
    <w:p>
      <w:pPr>
        <w:pStyle w:val="ListParagraph"/>
        <w:numPr>
          <w:ilvl w:val="0"/>
          <w:numId w:val="3"/>
        </w:numPr>
        <w:spacing w:after="80"/>
      </w:pPr>
      <w:r>
        <w:rPr>
          <w:rFonts w:ascii="Arial" w:cs="Arial" w:eastAsia="Arial" w:hAnsi="Arial"/>
          <w:b/>
          <w:bCs/>
          <w:sz w:val="22"/>
          <w:szCs w:val="22"/>
        </w:rPr>
        <w:t xml:space="preserve">February 18, 2026: </w:t>
      </w:r>
      <w:r>
        <w:rPr>
          <w:rFonts w:ascii="Arial" w:cs="Arial" w:eastAsia="Arial" w:hAnsi="Arial"/>
          <w:sz w:val="22"/>
          <w:szCs w:val="22"/>
        </w:rPr>
        <w:t xml:space="preserve">Carbon footprint declaration mandatory for industrial rechargeable batteries &gt;2 kWh (i.e. UPS, medical, energy storage, grid-scale)</w:t>
      </w:r>
    </w:p>
    <w:p>
      <w:pPr>
        <w:pStyle w:val="ListParagraph"/>
        <w:numPr>
          <w:ilvl w:val="0"/>
          <w:numId w:val="3"/>
        </w:numPr>
        <w:spacing w:after="80"/>
      </w:pPr>
      <w:r>
        <w:rPr>
          <w:rFonts w:ascii="Arial" w:cs="Arial" w:eastAsia="Arial" w:hAnsi="Arial"/>
          <w:b/>
          <w:bCs/>
          <w:sz w:val="22"/>
          <w:szCs w:val="22"/>
        </w:rPr>
        <w:t xml:space="preserve">August 18, 2026: </w:t>
      </w:r>
      <w:r>
        <w:rPr>
          <w:rFonts w:ascii="Arial" w:cs="Arial" w:eastAsia="Arial" w:hAnsi="Arial"/>
          <w:sz w:val="22"/>
          <w:szCs w:val="22"/>
        </w:rPr>
        <w:t xml:space="preserve">Mandatory harmonized labelling — capacity, lifespan, hazardous-substance content</w:t>
      </w:r>
    </w:p>
    <w:p>
      <w:pPr>
        <w:pStyle w:val="ListParagraph"/>
        <w:numPr>
          <w:ilvl w:val="0"/>
          <w:numId w:val="3"/>
        </w:numPr>
        <w:spacing w:after="80"/>
      </w:pPr>
      <w:r>
        <w:rPr>
          <w:rFonts w:ascii="Arial" w:cs="Arial" w:eastAsia="Arial" w:hAnsi="Arial"/>
          <w:b/>
          <w:bCs/>
          <w:sz w:val="22"/>
          <w:szCs w:val="22"/>
        </w:rPr>
        <w:t xml:space="preserve">February 18, 2027: </w:t>
      </w:r>
      <w:r>
        <w:rPr>
          <w:rFonts w:ascii="Arial" w:cs="Arial" w:eastAsia="Arial" w:hAnsi="Arial"/>
          <w:sz w:val="22"/>
          <w:szCs w:val="22"/>
        </w:rPr>
        <w:t xml:space="preserve">Digital Battery Passport mandatory for industrial &gt;2 kWh, EV, and LMT batteries; the passport must include verified carbon-footprint data accessible via QR code</w:t>
      </w:r>
    </w:p>
    <w:p>
      <w:pPr>
        <w:pStyle w:val="ListParagraph"/>
        <w:numPr>
          <w:ilvl w:val="0"/>
          <w:numId w:val="3"/>
        </w:numPr>
        <w:spacing w:after="80"/>
      </w:pPr>
      <w:r>
        <w:rPr>
          <w:rFonts w:ascii="Arial" w:cs="Arial" w:eastAsia="Arial" w:hAnsi="Arial"/>
          <w:b/>
          <w:bCs/>
          <w:sz w:val="22"/>
          <w:szCs w:val="22"/>
        </w:rPr>
        <w:t xml:space="preserve">August 18, 2027: </w:t>
      </w:r>
      <w:r>
        <w:rPr>
          <w:rFonts w:ascii="Arial" w:cs="Arial" w:eastAsia="Arial" w:hAnsi="Arial"/>
          <w:sz w:val="22"/>
          <w:szCs w:val="22"/>
        </w:rPr>
        <w:t xml:space="preserve">Performance-class assignments (A-G grading) applied to declared footprints</w:t>
      </w:r>
    </w:p>
    <w:p>
      <w:pPr>
        <w:pStyle w:val="ListParagraph"/>
        <w:numPr>
          <w:ilvl w:val="0"/>
          <w:numId w:val="3"/>
        </w:numPr>
        <w:spacing w:after="80"/>
      </w:pPr>
      <w:r>
        <w:rPr>
          <w:rFonts w:ascii="Arial" w:cs="Arial" w:eastAsia="Arial" w:hAnsi="Arial"/>
          <w:b/>
          <w:bCs/>
          <w:sz w:val="22"/>
          <w:szCs w:val="22"/>
        </w:rPr>
        <w:t xml:space="preserve">February 18, 2030: </w:t>
      </w:r>
      <w:r>
        <w:rPr>
          <w:rFonts w:ascii="Arial" w:cs="Arial" w:eastAsia="Arial" w:hAnsi="Arial"/>
          <w:sz w:val="22"/>
          <w:szCs w:val="22"/>
        </w:rPr>
        <w:t xml:space="preserve">Maximum carbon-footprint thresholds. Batteries exceeding the limit will be barred from the EU market.</w:t>
      </w:r>
    </w:p>
    <w:p>
      <w:pPr>
        <w:spacing w:after="120"/>
      </w:pPr>
      <w:r>
        <w:rPr>
          <w:rFonts w:ascii="Arial" w:cs="Arial" w:eastAsia="Arial" w:hAnsi="Arial"/>
          <w:sz w:val="22"/>
          <w:szCs w:val="22"/>
        </w:rPr>
        <w:t xml:space="preserve">This is exactly the regulatory architecture that's driven the tire industry's voluntary 2030 commitments — but enforced through binding EU law. Industrial battery producers must now disaggregate carbon contributions by lifecycle stage, with upstream supply-chain emissions representing 60-70% of total battery carbon footprint. The methodology follows EU PEF / JRC141282 (May 2025). Recycled battery materials show 58-81% lower carbon footprint than virgin equivalents — and that is the supplier-of-choice gap Quantom can fill.</w:t>
      </w:r>
    </w:p>
    <w:p>
      <w:pPr>
        <w:pStyle w:val="Heading2"/>
        <w:spacing w:after="140" w:before="280"/>
      </w:pPr>
      <w:r>
        <w:rPr>
          <w:rFonts w:ascii="Arial" w:cs="Arial" w:eastAsia="Arial" w:hAnsi="Arial"/>
          <w:b/>
          <w:bCs/>
          <w:sz w:val="26"/>
          <w:szCs w:val="26"/>
        </w:rPr>
        <w:t xml:space="preserve">5.2 What Quantom can make for batteries</w:t>
      </w:r>
    </w:p>
    <w:p>
      <w:pPr>
        <w:spacing w:after="120"/>
      </w:pPr>
      <w:r>
        <w:rPr>
          <w:rFonts w:ascii="Arial" w:cs="Arial" w:eastAsia="Arial" w:hAnsi="Arial"/>
          <w:sz w:val="22"/>
          <w:szCs w:val="22"/>
        </w:rPr>
        <w:t xml:space="preserve">Three distinct battery materials sit inside the Quantom reactor's recipe range, each with its own demand curve:</w:t>
      </w:r>
    </w:p>
    <w:p>
      <w:pPr>
        <w:spacing w:after="120"/>
      </w:pPr>
      <w:r>
        <w:rPr>
          <w:rFonts w:ascii="Arial" w:cs="Arial" w:eastAsia="Arial" w:hAnsi="Arial"/>
          <w:b/>
          <w:bCs/>
          <w:sz w:val="22"/>
          <w:szCs w:val="22"/>
        </w:rPr>
        <w:t xml:space="preserve">(a) Hard carbon for sodium-ion battery anodes </w:t>
      </w:r>
      <w:r>
        <w:rPr>
          <w:rFonts w:ascii="Arial" w:cs="Arial" w:eastAsia="Arial" w:hAnsi="Arial"/>
          <w:i w:val="false"/>
          <w:iCs w:val="false"/>
          <w:sz w:val="22"/>
          <w:szCs w:val="22"/>
        </w:rPr>
        <w:t xml:space="preserve">is the most directly addressable. Hard carbon prices range €50K-200K/t in China (mid-2025 spot), with Kuraray's premium product at ~RMB 200K/t (~€26K/t). Kuraray Type 2 "Kuranode" is the de facto industry reference standard, derived from coconut shells. Global hard-carbon suppliers are: Kuraray (Japan, ~2,000 t/yr capacity), JFE Chemical (Japan), Kureha (Japan, petroleum precursor), Sumitomo Bakelite (phenolic resin precursor, HEV battery use), Stora Enso (Finland, lignin precursor), Shanshan (China, CATL strategic investor), BTR (China), Putailai (China), BestGraphene (China, first Chinese mass producer). </w:t>
      </w:r>
    </w:p>
    <w:p>
      <w:pPr>
        <w:spacing w:after="120"/>
      </w:pPr>
      <w:r>
        <w:rPr>
          <w:rFonts w:ascii="Arial" w:cs="Arial" w:eastAsia="Arial" w:hAnsi="Arial"/>
          <w:i w:val="false"/>
          <w:iCs w:val="false"/>
          <w:sz w:val="22"/>
          <w:szCs w:val="22"/>
        </w:rPr>
        <w:t xml:space="preserve">Sodium-ion battery market is now at commercial scale: CATL/Pylontech grid storage 2-hour 5 MW/10 MWh in China 2023, Yadea scooters in commercial production, IRENA 2025 projecting SIB cell costs to $40/kWh vs LFP $70/kWh. Pirelli's parallel commitment to </w:t>
      </w:r>
      <w:r>
        <w:rPr>
          <w:rFonts w:ascii="Arial" w:cs="Arial" w:eastAsia="Arial" w:hAnsi="Arial"/>
          <w:i/>
          <w:iCs/>
          <w:sz w:val="22"/>
          <w:szCs w:val="22"/>
        </w:rPr>
        <w:t xml:space="preserve">demonstrable</w:t>
      </w:r>
      <w:r>
        <w:rPr>
          <w:rFonts w:ascii="Arial" w:cs="Arial" w:eastAsia="Arial" w:hAnsi="Arial"/>
          <w:i w:val="false"/>
          <w:iCs w:val="false"/>
          <w:sz w:val="22"/>
          <w:szCs w:val="22"/>
        </w:rPr>
        <w:t xml:space="preserve"> sustainability in tires translates directly into hard-carbon procurement: a Quantom CO2-derived hard carbon at 350 mAh/g with verified low-CF declaration would be uniquely positioned for SIB anode procurement under EU Battery Regulation.</w:t>
      </w:r>
    </w:p>
    <w:p>
      <w:pPr>
        <w:spacing w:after="120"/>
      </w:pPr>
      <w:r>
        <w:rPr>
          <w:rFonts w:ascii="Arial" w:cs="Arial" w:eastAsia="Arial" w:hAnsi="Arial"/>
          <w:b/>
          <w:bCs/>
          <w:sz w:val="22"/>
          <w:szCs w:val="22"/>
        </w:rPr>
        <w:t xml:space="preserve">(b) Conductive carbon black for Li-ion electrodes </w:t>
      </w:r>
      <w:r>
        <w:rPr>
          <w:rFonts w:ascii="Arial" w:cs="Arial" w:eastAsia="Arial" w:hAnsi="Arial"/>
          <w:i w:val="false"/>
          <w:iCs w:val="false"/>
          <w:sz w:val="22"/>
          <w:szCs w:val="22"/>
        </w:rPr>
        <w:t xml:space="preserve">is the volume play. EV battery demand exceeded 750 GWh globally in 2023 and is on a 5,456 TWh-by-2036 trajectory per IDTechEx. Carbon black is added to both anode (graphite + conductive CB) and cathode (NMC/NCA/LFP + conductive CB) for electronic conductivity. The EU Battery Regulation's lifecycle accounting requires per-component carbon footprint, which means a low-CF conductive carbon black becomes a competitive procurement advantage for cell manufacturers chasing the "A" performance class.</w:t>
      </w:r>
    </w:p>
    <w:p>
      <w:pPr>
        <w:spacing w:after="120"/>
      </w:pPr>
      <w:r>
        <w:rPr>
          <w:rFonts w:ascii="Arial" w:cs="Arial" w:eastAsia="Arial" w:hAnsi="Arial"/>
          <w:b/>
          <w:bCs/>
          <w:sz w:val="22"/>
          <w:szCs w:val="22"/>
        </w:rPr>
        <w:t xml:space="preserve">(c) Graphene as conductive additive </w:t>
      </w:r>
      <w:r>
        <w:rPr>
          <w:rFonts w:ascii="Arial" w:cs="Arial" w:eastAsia="Arial" w:hAnsi="Arial"/>
          <w:i w:val="false"/>
          <w:iCs w:val="false"/>
          <w:sz w:val="22"/>
          <w:szCs w:val="22"/>
        </w:rPr>
        <w:t xml:space="preserve">is the high-value extension. Graphene nanoplatelets and reduced graphene oxide are now used as conductive additives, thermal interface layers, and current-collector coatings. Per IndexBox 2026, the anode conductive additives market is now a "dual-track" market: high-volume carbon black for mass-market EVs, and a premium CNT/graphene segment for luxury/performance cells. Quantom's eventual graphene output (Phase III in the deck) maps directly onto this premium tier. Battery customers include Tesla, BYD, VW Group, CATL, LG Energy Solution, Panasonic.</w:t>
      </w:r>
    </w:p>
    <w:p>
      <w:pPr>
        <w:pStyle w:val="Heading2"/>
        <w:spacing w:after="140" w:before="280"/>
      </w:pPr>
      <w:r>
        <w:rPr>
          <w:rFonts w:ascii="Arial" w:cs="Arial" w:eastAsia="Arial" w:hAnsi="Arial"/>
          <w:b/>
          <w:bCs/>
          <w:sz w:val="26"/>
          <w:szCs w:val="26"/>
        </w:rPr>
        <w:t xml:space="preserve">5.3 Battery materials outreach plan</w:t>
      </w:r>
    </w:p>
    <w:p>
      <w:pPr>
        <w:pStyle w:val="ListParagraph"/>
        <w:numPr>
          <w:ilvl w:val="0"/>
          <w:numId w:val="2"/>
        </w:numPr>
        <w:spacing w:after="80"/>
      </w:pPr>
      <w:r>
        <w:rPr>
          <w:rFonts w:ascii="Arial" w:cs="Arial" w:eastAsia="Arial" w:hAnsi="Arial"/>
          <w:sz w:val="22"/>
          <w:szCs w:val="22"/>
        </w:rPr>
        <w:t xml:space="preserve">Engage Kuraray Europe GmbH (Düsseldorf) — Kuraray spoke at the Future Tire Conference 2025 and owns the de facto sodium-ion anode standard. Kuraray's Battery Materials Section (Sales Dept, Environmental Solutions Division, EmInfo.Jp@kuraray.com per their public Kuranode page). Position Quantom as a CO2-feedstock alternative to coconut-shell precursor, with the EU Battery Regulation CF advantage.</w:t>
      </w:r>
    </w:p>
    <w:p>
      <w:pPr>
        <w:pStyle w:val="ListParagraph"/>
        <w:numPr>
          <w:ilvl w:val="0"/>
          <w:numId w:val="2"/>
        </w:numPr>
        <w:spacing w:after="80"/>
      </w:pPr>
      <w:r>
        <w:rPr>
          <w:rFonts w:ascii="Arial" w:cs="Arial" w:eastAsia="Arial" w:hAnsi="Arial"/>
          <w:sz w:val="22"/>
          <w:szCs w:val="22"/>
        </w:rPr>
        <w:t xml:space="preserve">Engage Stora Enso (Helsinki/Stockholm) — Stora Enso's Lignode is the European hard-carbon contender. They face a precursor-economics challenge (lignin from kraft pulping). Quantom's CO2 path could be positioned as a co-development partner.</w:t>
      </w:r>
    </w:p>
    <w:p>
      <w:pPr>
        <w:pStyle w:val="ListParagraph"/>
        <w:numPr>
          <w:ilvl w:val="0"/>
          <w:numId w:val="2"/>
        </w:numPr>
        <w:spacing w:after="80"/>
      </w:pPr>
      <w:r>
        <w:rPr>
          <w:rFonts w:ascii="Arial" w:cs="Arial" w:eastAsia="Arial" w:hAnsi="Arial"/>
          <w:sz w:val="22"/>
          <w:szCs w:val="22"/>
        </w:rPr>
        <w:t xml:space="preserve">Engage Northvolt successor entity and ACC (Automotive Cells Company, Stellantis/Mercedes/TotalEnergies JV in France) — These are the EU-side cell makers that need carbon-footprint declarations from February 2026. Northvolt's chapter 11 (early 2025) means assets will be acquired, and the successor will have an even sharper need for verified low-CF material declarations to anchor financing.</w:t>
      </w:r>
    </w:p>
    <w:p>
      <w:pPr>
        <w:pStyle w:val="ListParagraph"/>
        <w:numPr>
          <w:ilvl w:val="0"/>
          <w:numId w:val="2"/>
        </w:numPr>
        <w:spacing w:after="80"/>
      </w:pPr>
      <w:r>
        <w:rPr>
          <w:rFonts w:ascii="Arial" w:cs="Arial" w:eastAsia="Arial" w:hAnsi="Arial"/>
          <w:sz w:val="22"/>
          <w:szCs w:val="22"/>
        </w:rPr>
        <w:t xml:space="preserve">Engage CATL and BYD via their European procurement offices — Both have published sodium-ion roadmaps. CATL's second-generation sodium-ion battery (announced April 2024) needs hard-carbon supply that meets EU Battery Regulation CF disclosure. The pitch: "We can deliver a hard carbon with a verified MRV-grade negative carbon footprint, which directly addresses your EU market access."</w:t>
      </w:r>
    </w:p>
    <w:p>
      <w:pPr>
        <w:pStyle w:val="Heading1"/>
        <w:spacing w:after="140" w:before="280"/>
      </w:pPr>
      <w:r>
        <w:rPr>
          <w:rFonts w:ascii="Arial" w:cs="Arial" w:eastAsia="Arial" w:hAnsi="Arial"/>
          <w:b/>
          <w:bCs/>
          <w:sz w:val="32"/>
          <w:szCs w:val="32"/>
        </w:rPr>
        <w:t xml:space="preserve">6. The Next Five Regulated-Carbon Verticals</w:t>
      </w:r>
    </w:p>
    <w:p>
      <w:pPr>
        <w:spacing w:after="120"/>
      </w:pPr>
      <w:r>
        <w:rPr>
          <w:rFonts w:ascii="Arial" w:cs="Arial" w:eastAsia="Arial" w:hAnsi="Arial"/>
          <w:sz w:val="22"/>
          <w:szCs w:val="22"/>
        </w:rPr>
        <w:t xml:space="preserve">Beyond tires and batteries, Quantom should map the broader regulated-carbon landscape. The question is which adjacent products combine: (a) a CO2 / carbon-footprint regulatory driver, (b) a supply gap or premium-pricing tolerance, and (c) a recipe accessible from the Quantom reactor.</w:t>
      </w:r>
    </w:p>
    <w:p>
      <w:pPr>
        <w:pStyle w:val="Heading2"/>
        <w:spacing w:after="140" w:before="280"/>
      </w:pPr>
      <w:r>
        <w:rPr>
          <w:rFonts w:ascii="Arial" w:cs="Arial" w:eastAsia="Arial" w:hAnsi="Arial"/>
          <w:b/>
          <w:bCs/>
          <w:sz w:val="26"/>
          <w:szCs w:val="26"/>
        </w:rPr>
        <w:t xml:space="preserve">6.1 Graphene-enhanced concrete admixtures</w:t>
      </w:r>
    </w:p>
    <w:p>
      <w:pPr>
        <w:spacing w:after="120"/>
      </w:pPr>
      <w:r>
        <w:rPr>
          <w:rFonts w:ascii="Arial" w:cs="Arial" w:eastAsia="Arial" w:hAnsi="Arial"/>
          <w:b/>
          <w:bCs/>
          <w:sz w:val="22"/>
          <w:szCs w:val="22"/>
        </w:rPr>
        <w:t xml:space="preserve">Regulatory driver: </w:t>
      </w:r>
      <w:r>
        <w:rPr>
          <w:rFonts w:ascii="Arial" w:cs="Arial" w:eastAsia="Arial" w:hAnsi="Arial"/>
          <w:i w:val="false"/>
          <w:iCs w:val="false"/>
          <w:sz w:val="22"/>
          <w:szCs w:val="22"/>
        </w:rPr>
        <w:t xml:space="preserve">Cement is in CBAM Phase 1, definitive enforcement from January 1, 2026, with the price tied to weekly EU ETS allowances. EU Cement Industry net-zero roadmap targets a 37% CO2 reduction by 2030 and 78% by 2040. The European Commission's March 26, 2026 Cement Action Plan adds €100B Industrial Decarbonisation Bank and mandatory GWP disclosure under the Construction Products Regulation. Cement accounts for ~8% of global anthropogenic CO2.</w:t>
      </w:r>
    </w:p>
    <w:p>
      <w:pPr>
        <w:spacing w:after="120"/>
      </w:pPr>
      <w:r>
        <w:rPr>
          <w:rFonts w:ascii="Arial" w:cs="Arial" w:eastAsia="Arial" w:hAnsi="Arial"/>
          <w:b/>
          <w:bCs/>
          <w:sz w:val="22"/>
          <w:szCs w:val="22"/>
        </w:rPr>
        <w:t xml:space="preserve">Market activity: </w:t>
      </w:r>
      <w:r>
        <w:rPr>
          <w:rFonts w:ascii="Arial" w:cs="Arial" w:eastAsia="Arial" w:hAnsi="Arial"/>
          <w:i w:val="false"/>
          <w:iCs w:val="false"/>
          <w:sz w:val="22"/>
          <w:szCs w:val="22"/>
        </w:rPr>
        <w:t xml:space="preserve">Lyten (Lyten S Cure™, January 2026 launch) is now in the concrete admixture market with 3D Graphene. First Graphene (Australia) has produced ~600 tonnes of graphene-enhanced cement with Breedon Group at Hope Cement Works, Derbyshire. Plaid Technologies (Vancouver, CSE:STIF) has a graphene-enhanced wellbore cement platform. Concrene® holds the only granted-patent portfolio for graphene-in-concrete in US, EU, and Canada and is offering licensing. Per published research, graphene-based concrete additives can increase tensile strength by up to 30% and compressive strength by up to 25%.</w:t>
      </w:r>
    </w:p>
    <w:p>
      <w:pPr>
        <w:spacing w:after="120"/>
      </w:pPr>
      <w:r>
        <w:rPr>
          <w:rFonts w:ascii="Arial" w:cs="Arial" w:eastAsia="Arial" w:hAnsi="Arial"/>
          <w:b/>
          <w:bCs/>
          <w:sz w:val="22"/>
          <w:szCs w:val="22"/>
        </w:rPr>
        <w:t xml:space="preserve">Quantom angle: </w:t>
      </w:r>
      <w:r>
        <w:rPr>
          <w:rFonts w:ascii="Arial" w:cs="Arial" w:eastAsia="Arial" w:hAnsi="Arial"/>
          <w:i w:val="false"/>
          <w:iCs w:val="false"/>
          <w:sz w:val="22"/>
          <w:szCs w:val="22"/>
        </w:rPr>
        <w:t xml:space="preserve">Phase III graphene output from the Quantom reactor can plug into the same admixture format. The interesting structural point: graphene-cement uses graphene at 0.05%-2% loading by weight, so even small reactor outputs can dose massive cement volumes. A single 10L pilot's graphene yield could dose hundreds of tonnes of cement. The right partners are HeidelbergCement (50% low-carbon revenue target by 2030), Holcim, Cementir (FUTURECEM, 50% volume target 2030), Breedon (UK), and CEMEX. </w:t>
      </w:r>
    </w:p>
    <w:p>
      <w:pPr>
        <w:pStyle w:val="Heading2"/>
        <w:spacing w:after="140" w:before="280"/>
      </w:pPr>
      <w:r>
        <w:rPr>
          <w:rFonts w:ascii="Arial" w:cs="Arial" w:eastAsia="Arial" w:hAnsi="Arial"/>
          <w:b/>
          <w:bCs/>
          <w:sz w:val="26"/>
          <w:szCs w:val="26"/>
        </w:rPr>
        <w:t xml:space="preserve">6.2 Activated carbon for PFAS and mercury water treatment</w:t>
      </w:r>
    </w:p>
    <w:p>
      <w:pPr>
        <w:spacing w:after="120"/>
      </w:pPr>
      <w:r>
        <w:rPr>
          <w:rFonts w:ascii="Arial" w:cs="Arial" w:eastAsia="Arial" w:hAnsi="Arial"/>
          <w:b/>
          <w:bCs/>
          <w:sz w:val="22"/>
          <w:szCs w:val="22"/>
        </w:rPr>
        <w:t xml:space="preserve">Regulatory driver: </w:t>
      </w:r>
      <w:r>
        <w:rPr>
          <w:rFonts w:ascii="Arial" w:cs="Arial" w:eastAsia="Arial" w:hAnsi="Arial"/>
          <w:i w:val="false"/>
          <w:iCs w:val="false"/>
          <w:sz w:val="22"/>
          <w:szCs w:val="22"/>
        </w:rPr>
        <w:t xml:space="preserve">EPA's 2024 PFAS rule sets parts-per-trillion limits for six PFAS compounds in drinking water, triggering granular activated carbon (GAC) retrofits across hundreds of US utilities under WIFIA funding. Mercury and Air Toxics Standards (revised, US), plus equivalent rules in China and India, reinforce demand for impregnated and powdered carbons at coal-fired plants. The US Bipartisan Infrastructure Law provides $10B specifically for emerging contaminants. The infrastructure gap through 2030 is estimated at $6.7 trillion.</w:t>
      </w:r>
    </w:p>
    <w:p>
      <w:pPr>
        <w:spacing w:after="120"/>
      </w:pPr>
      <w:r>
        <w:rPr>
          <w:rFonts w:ascii="Arial" w:cs="Arial" w:eastAsia="Arial" w:hAnsi="Arial"/>
          <w:b/>
          <w:bCs/>
          <w:sz w:val="22"/>
          <w:szCs w:val="22"/>
        </w:rPr>
        <w:t xml:space="preserve">Market activity: </w:t>
      </w:r>
      <w:r>
        <w:rPr>
          <w:rFonts w:ascii="Arial" w:cs="Arial" w:eastAsia="Arial" w:hAnsi="Arial"/>
          <w:i w:val="false"/>
          <w:iCs w:val="false"/>
          <w:sz w:val="22"/>
          <w:szCs w:val="22"/>
        </w:rPr>
        <w:t xml:space="preserve">Global activated carbon market is $9.2B in 2025, growing at 11.2% CAGR to $26.7B by 2036 (Transparency Market Research). Water-treatment-only segment growing 9.1% CAGR to $7.85B by 2035. The PFAS water-treatment market alone is $1.2B (2024) growing to $2.18B by 2030 at 10.5% CAGR. Cabot and Calgon Carbon (Kuraray subsidiary since March 2018) invested $50M+ in Ohio and Texas activated-carbon plants in 2024. Jacobi Carbons, Donau Carbon, DESOTEC, Haycarb are major players.</w:t>
      </w:r>
    </w:p>
    <w:p>
      <w:pPr>
        <w:spacing w:after="120"/>
      </w:pPr>
      <w:r>
        <w:rPr>
          <w:rFonts w:ascii="Arial" w:cs="Arial" w:eastAsia="Arial" w:hAnsi="Arial"/>
          <w:b/>
          <w:bCs/>
          <w:sz w:val="22"/>
          <w:szCs w:val="22"/>
        </w:rPr>
        <w:t xml:space="preserve">Quantom angle: </w:t>
      </w:r>
      <w:r>
        <w:rPr>
          <w:rFonts w:ascii="Arial" w:cs="Arial" w:eastAsia="Arial" w:hAnsi="Arial"/>
          <w:i w:val="false"/>
          <w:iCs w:val="false"/>
          <w:sz w:val="22"/>
          <w:szCs w:val="22"/>
        </w:rPr>
        <w:t xml:space="preserve">Activated carbon is on the Quantom recipe sheet at $15K-30K/t (slide 17 of v32). This is the highest-margin water-treatment-grade carbon and the procurement timeline is short — municipal utilities are issuing GAC RFPs now, driven by EPA enforcement deadlines. Engaging Calgon Carbon (Pittsburgh, owned by Kuraray) gives Quantom a relationship that bridges battery hard-carbon and PFAS-grade activated carbon under one corporate umbrella.</w:t>
      </w:r>
    </w:p>
    <w:p>
      <w:pPr>
        <w:pStyle w:val="Heading2"/>
        <w:spacing w:after="140" w:before="280"/>
      </w:pPr>
      <w:r>
        <w:rPr>
          <w:rFonts w:ascii="Arial" w:cs="Arial" w:eastAsia="Arial" w:hAnsi="Arial"/>
          <w:b/>
          <w:bCs/>
          <w:sz w:val="26"/>
          <w:szCs w:val="26"/>
        </w:rPr>
        <w:t xml:space="preserve">6.3 Conductive carbon black / CNT additives for Li-ion batteries</w:t>
      </w:r>
    </w:p>
    <w:p>
      <w:pPr>
        <w:spacing w:after="120"/>
      </w:pPr>
      <w:r>
        <w:rPr>
          <w:rFonts w:ascii="Arial" w:cs="Arial" w:eastAsia="Arial" w:hAnsi="Arial"/>
          <w:i w:val="false"/>
          <w:iCs w:val="false"/>
          <w:sz w:val="22"/>
          <w:szCs w:val="22"/>
        </w:rPr>
        <w:t xml:space="preserve">This is technically a subset of Section 5 but warrants separate treatment because the value chain is different — the buyers are not battery cell makers but battery materials suppliers (Imerys, Cabot, Orion, Denka). Per Notch Consulting, in Europe alone, recovered carbon black could substitute 250-550 thousand tonnes/year of conventional carbon black in certain battery applications. The IndexBox 2035 outlook splits the market into mass-market carbon black for cost-optimized EVs and a premium CNT/graphene tier for performance cells. Quantom's recipe library serves both tiers from the same reactor.</w:t>
      </w:r>
    </w:p>
    <w:p>
      <w:pPr>
        <w:pStyle w:val="Heading2"/>
        <w:spacing w:after="140" w:before="280"/>
      </w:pPr>
      <w:r>
        <w:rPr>
          <w:rFonts w:ascii="Arial" w:cs="Arial" w:eastAsia="Arial" w:hAnsi="Arial"/>
          <w:b/>
          <w:bCs/>
          <w:sz w:val="26"/>
          <w:szCs w:val="26"/>
        </w:rPr>
        <w:t xml:space="preserve">6.4 Carbon-attribute aggregators (Puro.earth, Frontier, Microsoft, Stripe)</w:t>
      </w:r>
    </w:p>
    <w:p>
      <w:pPr>
        <w:spacing w:after="120"/>
      </w:pPr>
      <w:r>
        <w:rPr>
          <w:rFonts w:ascii="Arial" w:cs="Arial" w:eastAsia="Arial" w:hAnsi="Arial"/>
          <w:i w:val="false"/>
          <w:iCs w:val="false"/>
          <w:sz w:val="22"/>
          <w:szCs w:val="22"/>
        </w:rPr>
        <w:t xml:space="preserve">This is the credit-revenue track. Puro.earth (Nasdaq majority-owned, 2021) has issued 1.5M+ CORCs and runs the CORC Carbon Removal Price Index. The biochar CORC index (CORCCHAR) hit €125-145/t in 2025. Microsoft, Shopify, Zurich Insurance, Stripe, Frontier (the $1B+ AMC) are the institutional buyers. </w:t>
      </w:r>
      <w:r>
        <w:rPr>
          <w:rFonts w:ascii="Arial" w:cs="Arial" w:eastAsia="Arial" w:hAnsi="Arial"/>
          <w:i w:val="false"/>
          <w:iCs w:val="false"/>
          <w:sz w:val="22"/>
          <w:szCs w:val="22"/>
        </w:rPr>
        <w:t xml:space="preserve">Quantom's MRV pathway (slide 11 of v32) needs to be developed in parallel with the methodology work — a Puro.earth-certified electrochemical CO2-to-solid-carbon methodology could be the first of its kind and would set the category.</w:t>
      </w:r>
    </w:p>
    <w:p>
      <w:pPr>
        <w:spacing w:after="120"/>
      </w:pPr>
      <w:r>
        <w:rPr>
          <w:rFonts w:ascii="Arial" w:cs="Arial" w:eastAsia="Arial" w:hAnsi="Arial"/>
          <w:b/>
          <w:bCs/>
          <w:sz w:val="22"/>
          <w:szCs w:val="22"/>
        </w:rPr>
        <w:t xml:space="preserve">Action: </w:t>
      </w:r>
      <w:r>
        <w:rPr>
          <w:rFonts w:ascii="Arial" w:cs="Arial" w:eastAsia="Arial" w:hAnsi="Arial"/>
          <w:i w:val="false"/>
          <w:iCs w:val="false"/>
          <w:sz w:val="22"/>
          <w:szCs w:val="22"/>
        </w:rPr>
        <w:t xml:space="preserve">Open formal dialogue with Puro.earth on methodology development. Reach out to Frontier (frontiercarbon.com) for AMC consideration once the prototype is delivering verified outputs. Microsoft's commitment to durable removal at $700/t durable-removal benchmark is the price reference Quantom is anchoring to.</w:t>
      </w:r>
    </w:p>
    <w:p>
      <w:pPr>
        <w:pStyle w:val="Heading2"/>
        <w:spacing w:after="140" w:before="280"/>
      </w:pPr>
      <w:r>
        <w:rPr>
          <w:rFonts w:ascii="Arial" w:cs="Arial" w:eastAsia="Arial" w:hAnsi="Arial"/>
          <w:b/>
          <w:bCs/>
          <w:sz w:val="26"/>
          <w:szCs w:val="26"/>
        </w:rPr>
        <w:t xml:space="preserve">6.5 Aerospace and defense carbon-fiber composites</w:t>
      </w:r>
    </w:p>
    <w:p>
      <w:pPr>
        <w:spacing w:after="120"/>
      </w:pPr>
      <w:r>
        <w:rPr>
          <w:rFonts w:ascii="Arial" w:cs="Arial" w:eastAsia="Arial" w:hAnsi="Arial"/>
          <w:i w:val="false"/>
          <w:iCs w:val="false"/>
          <w:sz w:val="22"/>
          <w:szCs w:val="22"/>
        </w:rPr>
        <w:t xml:space="preserve">Aerospace carbon at $100K-500K/t (deck slide 17) is the highest-margin tier but the slowest qualification cycle (typically 5-7 years for primary structural composites). However, </w:t>
      </w:r>
      <w:r>
        <w:rPr>
          <w:rFonts w:ascii="Arial" w:cs="Arial" w:eastAsia="Arial" w:hAnsi="Arial"/>
          <w:b/>
          <w:bCs/>
          <w:i/>
          <w:iCs/>
          <w:sz w:val="22"/>
          <w:szCs w:val="22"/>
        </w:rPr>
        <w:t xml:space="preserve">the Quantom existing pipeline already includes Lockheed Martin and SpaceX contacts (per Quantom internal records). </w:t>
      </w:r>
      <w:r>
        <w:rPr>
          <w:rFonts w:ascii="Arial" w:cs="Arial" w:eastAsia="Arial" w:hAnsi="Arial"/>
          <w:i w:val="false"/>
          <w:iCs w:val="false"/>
          <w:sz w:val="22"/>
          <w:szCs w:val="22"/>
        </w:rPr>
        <w:t xml:space="preserve">These should be kept warm but not prioritized for pre-seed deliverables. The aerospace path is a Series A/B development, not Seed.</w:t>
      </w:r>
    </w:p>
    <w:p>
      <w:r>
        <w:br w:type="page"/>
      </w:r>
    </w:p>
    <w:p>
      <w:pPr>
        <w:pStyle w:val="Heading1"/>
        <w:spacing w:after="140" w:before="280"/>
      </w:pPr>
      <w:r>
        <w:rPr>
          <w:rFonts w:ascii="Arial" w:cs="Arial" w:eastAsia="Arial" w:hAnsi="Arial"/>
          <w:b/>
          <w:bCs/>
          <w:sz w:val="32"/>
          <w:szCs w:val="32"/>
        </w:rPr>
        <w:t xml:space="preserve">7. The 90-Day Action Plan</w:t>
      </w:r>
    </w:p>
    <w:p>
      <w:pPr>
        <w:spacing w:after="120"/>
      </w:pPr>
      <w:r>
        <w:rPr>
          <w:rFonts w:ascii="Arial" w:cs="Arial" w:eastAsia="Arial" w:hAnsi="Arial"/>
          <w:sz w:val="22"/>
          <w:szCs w:val="22"/>
        </w:rPr>
        <w:t xml:space="preserve">This section is the operational handoff. It lists, by week, the outreach actions Quantom's three founders can take starting Monday May 19, 2026.</w:t>
      </w:r>
    </w:p>
    <w:p>
      <w:pPr>
        <w:pStyle w:val="Heading2"/>
        <w:spacing w:after="140" w:before="280"/>
      </w:pPr>
      <w:r>
        <w:rPr>
          <w:rFonts w:ascii="Arial" w:cs="Arial" w:eastAsia="Arial" w:hAnsi="Arial"/>
          <w:b/>
          <w:bCs/>
          <w:sz w:val="26"/>
          <w:szCs w:val="26"/>
        </w:rPr>
        <w:t xml:space="preserve">Weeks 1-2 (May 19 - June 1, 2026)</w:t>
      </w:r>
    </w:p>
    <w:p>
      <w:pPr>
        <w:pStyle w:val="ListParagraph"/>
        <w:numPr>
          <w:ilvl w:val="0"/>
          <w:numId w:val="2"/>
        </w:numPr>
        <w:spacing w:after="80"/>
      </w:pPr>
      <w:r>
        <w:rPr>
          <w:rFonts w:ascii="Arial" w:cs="Arial" w:eastAsia="Arial" w:hAnsi="Arial"/>
          <w:sz w:val="22"/>
          <w:szCs w:val="22"/>
        </w:rPr>
        <w:t xml:space="preserve">Murat: Draft outreach email to Fabien Gaboriaud (Michelin) requesting follow-on conversation under existing NDA. Pre-clear with NDA counsel that the new content stays within scope.</w:t>
      </w:r>
    </w:p>
    <w:p>
      <w:pPr>
        <w:pStyle w:val="ListParagraph"/>
        <w:numPr>
          <w:ilvl w:val="0"/>
          <w:numId w:val="2"/>
        </w:numPr>
        <w:spacing w:after="80"/>
      </w:pPr>
      <w:r>
        <w:rPr>
          <w:rFonts w:ascii="Arial" w:cs="Arial" w:eastAsia="Arial" w:hAnsi="Arial"/>
          <w:sz w:val="22"/>
          <w:szCs w:val="22"/>
        </w:rPr>
        <w:t xml:space="preserve">Mike: Schedule Continental Korbach plant visit request via Jorge Almeida / Steffen Ryssel. Use the LANXESS Scopeblue precedent as the framing — "ISCC PLUS mass-balance carbon is already inside your compounding; we are an incremental, lower-risk addition."</w:t>
      </w:r>
    </w:p>
    <w:p>
      <w:pPr>
        <w:pStyle w:val="ListParagraph"/>
        <w:numPr>
          <w:ilvl w:val="0"/>
          <w:numId w:val="2"/>
        </w:numPr>
        <w:spacing w:after="80"/>
      </w:pPr>
      <w:r>
        <w:rPr>
          <w:rFonts w:ascii="Arial" w:cs="Arial" w:eastAsia="Arial" w:hAnsi="Arial"/>
          <w:sz w:val="22"/>
          <w:szCs w:val="22"/>
        </w:rPr>
        <w:t xml:space="preserve">Murat: Open dialogue with Martin von Wolfersdorff (Wolfersdorff Consulting Berlin). One 60-minute call. He is the single best-leverage relationship in this entire industry.</w:t>
      </w:r>
    </w:p>
    <w:p>
      <w:pPr>
        <w:pStyle w:val="ListParagraph"/>
        <w:numPr>
          <w:ilvl w:val="0"/>
          <w:numId w:val="2"/>
        </w:numPr>
        <w:spacing w:after="80"/>
      </w:pPr>
      <w:r>
        <w:rPr>
          <w:rFonts w:ascii="Arial" w:cs="Arial" w:eastAsia="Arial" w:hAnsi="Arial"/>
          <w:sz w:val="22"/>
          <w:szCs w:val="22"/>
        </w:rPr>
        <w:t xml:space="preserve">Austin: Build a CRM (Notion / HubSpot) with the named contacts in this memo (24 individuals identified), with last-contact timestamps and follow-up cadence.</w:t>
      </w:r>
    </w:p>
    <w:p>
      <w:pPr>
        <w:pStyle w:val="Heading2"/>
        <w:spacing w:after="140" w:before="280"/>
      </w:pPr>
      <w:r>
        <w:rPr>
          <w:rFonts w:ascii="Arial" w:cs="Arial" w:eastAsia="Arial" w:hAnsi="Arial"/>
          <w:b/>
          <w:bCs/>
          <w:sz w:val="26"/>
          <w:szCs w:val="26"/>
        </w:rPr>
        <w:t xml:space="preserve">Weeks 3-6 (June 2 - June 29, 2026)</w:t>
      </w:r>
    </w:p>
    <w:p>
      <w:pPr>
        <w:pStyle w:val="ListParagraph"/>
        <w:numPr>
          <w:ilvl w:val="0"/>
          <w:numId w:val="2"/>
        </w:numPr>
        <w:spacing w:after="80"/>
      </w:pPr>
      <w:r>
        <w:rPr>
          <w:rFonts w:ascii="Arial" w:cs="Arial" w:eastAsia="Arial" w:hAnsi="Arial"/>
          <w:sz w:val="22"/>
          <w:szCs w:val="22"/>
        </w:rPr>
        <w:t xml:space="preserve">Murat: Open paid-JDA dialogue with Goodyear via Akron Innovation Center, framing as a Monolith-pivot Plan B. Reference Goodyear's 2025 Climate Transition Plan explicitly.</w:t>
      </w:r>
    </w:p>
    <w:p>
      <w:pPr>
        <w:pStyle w:val="ListParagraph"/>
        <w:numPr>
          <w:ilvl w:val="0"/>
          <w:numId w:val="2"/>
        </w:numPr>
        <w:spacing w:after="80"/>
      </w:pPr>
      <w:r>
        <w:rPr>
          <w:rFonts w:ascii="Arial" w:cs="Arial" w:eastAsia="Arial" w:hAnsi="Arial"/>
          <w:sz w:val="22"/>
          <w:szCs w:val="22"/>
        </w:rPr>
        <w:t xml:space="preserve">Mike: Tokai Carbon outreach via Mark Leigh (President, Tokai Carbon CB). Reference the NEDO-funded Bridgestone-Tokai-Kyushu Univ-Okayama Univ project on "eCB from ELTs and other sources." Position Quantom as the "other sources" channel.</w:t>
      </w:r>
    </w:p>
    <w:p>
      <w:pPr>
        <w:pStyle w:val="ListParagraph"/>
        <w:numPr>
          <w:ilvl w:val="0"/>
          <w:numId w:val="2"/>
        </w:numPr>
        <w:spacing w:after="80"/>
      </w:pPr>
      <w:r>
        <w:rPr>
          <w:rFonts w:ascii="Arial" w:cs="Arial" w:eastAsia="Arial" w:hAnsi="Arial"/>
          <w:sz w:val="22"/>
          <w:szCs w:val="22"/>
        </w:rPr>
        <w:t xml:space="preserve">Murat: Initial methodology call with Puro.earth on electrochemical CO2-to-solid-carbon methodology. Use the v32 deck slide 11 as the technical brief.</w:t>
      </w:r>
    </w:p>
    <w:p>
      <w:pPr>
        <w:pStyle w:val="ListParagraph"/>
        <w:numPr>
          <w:ilvl w:val="0"/>
          <w:numId w:val="2"/>
        </w:numPr>
        <w:spacing w:after="80"/>
      </w:pPr>
      <w:r>
        <w:rPr>
          <w:rFonts w:ascii="Arial" w:cs="Arial" w:eastAsia="Arial" w:hAnsi="Arial"/>
          <w:sz w:val="22"/>
          <w:szCs w:val="22"/>
        </w:rPr>
        <w:t xml:space="preserve">Austin: Build the LCA / carbon-footprint accounting infrastructure required for EU Battery Regulation alignment. Use JRC141282 (May 2025) as the methodology baseline.</w:t>
      </w:r>
    </w:p>
    <w:p>
      <w:pPr>
        <w:pStyle w:val="Heading2"/>
        <w:spacing w:after="140" w:before="280"/>
      </w:pPr>
      <w:r>
        <w:rPr>
          <w:rFonts w:ascii="Arial" w:cs="Arial" w:eastAsia="Arial" w:hAnsi="Arial"/>
          <w:b/>
          <w:bCs/>
          <w:sz w:val="26"/>
          <w:szCs w:val="26"/>
        </w:rPr>
        <w:t xml:space="preserve">Weeks 7-12 (June 30 - August 17, 2026)</w:t>
      </w:r>
    </w:p>
    <w:p>
      <w:pPr>
        <w:pStyle w:val="ListParagraph"/>
        <w:numPr>
          <w:ilvl w:val="0"/>
          <w:numId w:val="2"/>
        </w:numPr>
        <w:spacing w:after="80"/>
      </w:pPr>
      <w:r>
        <w:rPr>
          <w:rFonts w:ascii="Arial" w:cs="Arial" w:eastAsia="Arial" w:hAnsi="Arial"/>
          <w:sz w:val="22"/>
          <w:szCs w:val="22"/>
        </w:rPr>
        <w:t xml:space="preserve">Murat: Pirelli engagement via Matteo Battaini. Reference the JLR Range Rover P Zero precedent. Parallel approach to Reuben Chorley at JLR procurement.</w:t>
      </w:r>
    </w:p>
    <w:p>
      <w:pPr>
        <w:pStyle w:val="ListParagraph"/>
        <w:numPr>
          <w:ilvl w:val="0"/>
          <w:numId w:val="2"/>
        </w:numPr>
        <w:spacing w:after="80"/>
      </w:pPr>
      <w:r>
        <w:rPr>
          <w:rFonts w:ascii="Arial" w:cs="Arial" w:eastAsia="Arial" w:hAnsi="Arial"/>
          <w:sz w:val="22"/>
          <w:szCs w:val="22"/>
        </w:rPr>
        <w:t xml:space="preserve">Mike: Cabot Corporation outreach. Reference their August 2025 acquisition of Bridgestone Mexico CB plant. Pitch a brownfield retrofit thesis — Quantom reactor installed inside an existing Cabot facility.</w:t>
      </w:r>
    </w:p>
    <w:p>
      <w:pPr>
        <w:pStyle w:val="ListParagraph"/>
        <w:numPr>
          <w:ilvl w:val="0"/>
          <w:numId w:val="2"/>
        </w:numPr>
        <w:spacing w:after="80"/>
      </w:pPr>
      <w:r>
        <w:rPr>
          <w:rFonts w:ascii="Arial" w:cs="Arial" w:eastAsia="Arial" w:hAnsi="Arial"/>
          <w:sz w:val="22"/>
          <w:szCs w:val="22"/>
        </w:rPr>
        <w:t xml:space="preserve">Murat: Begin Kuraray Europe outreach (Düsseldorf) on hard-carbon collaboration. Reference Calgon Carbon acquisition (March 2018) as the dual-product strategic fit (battery hard carbon + PFAS activated carbon).</w:t>
      </w:r>
    </w:p>
    <w:p>
      <w:pPr>
        <w:pStyle w:val="ListParagraph"/>
        <w:numPr>
          <w:ilvl w:val="0"/>
          <w:numId w:val="2"/>
        </w:numPr>
        <w:spacing w:after="80"/>
      </w:pPr>
      <w:r>
        <w:rPr>
          <w:rFonts w:ascii="Arial" w:cs="Arial" w:eastAsia="Arial" w:hAnsi="Arial"/>
          <w:sz w:val="22"/>
          <w:szCs w:val="22"/>
        </w:rPr>
        <w:t xml:space="preserve">Mike: Register and book travel for Carbon Black World Asia 2026 (Shanghai, April 22-23, 2026) — note this falls after the 90-day window but registration should close before.</w:t>
      </w:r>
    </w:p>
    <w:p>
      <w:pPr>
        <w:pStyle w:val="ListParagraph"/>
        <w:numPr>
          <w:ilvl w:val="0"/>
          <w:numId w:val="2"/>
        </w:numPr>
        <w:spacing w:after="80"/>
      </w:pPr>
      <w:r>
        <w:rPr>
          <w:rFonts w:ascii="Arial" w:cs="Arial" w:eastAsia="Arial" w:hAnsi="Arial"/>
          <w:sz w:val="22"/>
          <w:szCs w:val="22"/>
        </w:rPr>
        <w:t xml:space="preserve">Austin: Build a public-facing technical brief for First Graphene, Lyten, and Plaid Technologies on Quantom Phase III graphene compatibility with cement admixtures. Position as future supplier, not current.</w:t>
      </w:r>
    </w:p>
    <w:p>
      <w:pPr>
        <w:pStyle w:val="Heading2"/>
        <w:spacing w:after="140" w:before="280"/>
      </w:pPr>
      <w:r>
        <w:rPr>
          <w:rFonts w:ascii="Arial" w:cs="Arial" w:eastAsia="Arial" w:hAnsi="Arial"/>
          <w:b/>
          <w:bCs/>
          <w:sz w:val="26"/>
          <w:szCs w:val="26"/>
        </w:rPr>
        <w:t xml:space="preserve">Beyond 90 days — quarterly cadence</w:t>
      </w:r>
    </w:p>
    <w:p>
      <w:pPr>
        <w:pStyle w:val="ListParagraph"/>
        <w:numPr>
          <w:ilvl w:val="0"/>
          <w:numId w:val="3"/>
        </w:numPr>
        <w:spacing w:after="80"/>
      </w:pPr>
      <w:r>
        <w:rPr>
          <w:rFonts w:ascii="Arial" w:cs="Arial" w:eastAsia="Arial" w:hAnsi="Arial"/>
          <w:b/>
          <w:bCs/>
          <w:sz w:val="22"/>
          <w:szCs w:val="22"/>
        </w:rPr>
        <w:t xml:space="preserve">Q3 2026: </w:t>
      </w:r>
      <w:r>
        <w:rPr>
          <w:rFonts w:ascii="Arial" w:cs="Arial" w:eastAsia="Arial" w:hAnsi="Arial"/>
          <w:sz w:val="22"/>
          <w:szCs w:val="22"/>
        </w:rPr>
        <w:t xml:space="preserve">Pre-seed close, 10L prototype build kickoff. Tokai NDA target. Continental sample exchange target.</w:t>
      </w:r>
    </w:p>
    <w:p>
      <w:pPr>
        <w:pStyle w:val="ListParagraph"/>
        <w:numPr>
          <w:ilvl w:val="0"/>
          <w:numId w:val="3"/>
        </w:numPr>
        <w:spacing w:after="80"/>
      </w:pPr>
      <w:r>
        <w:rPr>
          <w:rFonts w:ascii="Arial" w:cs="Arial" w:eastAsia="Arial" w:hAnsi="Arial"/>
          <w:b/>
          <w:bCs/>
          <w:sz w:val="22"/>
          <w:szCs w:val="22"/>
        </w:rPr>
        <w:t xml:space="preserve">Q4 2026: </w:t>
      </w:r>
      <w:r>
        <w:rPr>
          <w:rFonts w:ascii="Arial" w:cs="Arial" w:eastAsia="Arial" w:hAnsi="Arial"/>
          <w:sz w:val="22"/>
          <w:szCs w:val="22"/>
        </w:rPr>
        <w:t xml:space="preserve">Recovered Carbon Black Europe 2026 (Schiphol, November 3-5). Mike to attend, ideally to present a poster or short technical brief.</w:t>
      </w:r>
    </w:p>
    <w:p>
      <w:pPr>
        <w:pStyle w:val="ListParagraph"/>
        <w:numPr>
          <w:ilvl w:val="0"/>
          <w:numId w:val="3"/>
        </w:numPr>
        <w:spacing w:after="80"/>
      </w:pPr>
      <w:r>
        <w:rPr>
          <w:rFonts w:ascii="Arial" w:cs="Arial" w:eastAsia="Arial" w:hAnsi="Arial"/>
          <w:b/>
          <w:bCs/>
          <w:sz w:val="22"/>
          <w:szCs w:val="22"/>
        </w:rPr>
        <w:t xml:space="preserve">Q1 2027: </w:t>
      </w:r>
      <w:r>
        <w:rPr>
          <w:rFonts w:ascii="Arial" w:cs="Arial" w:eastAsia="Arial" w:hAnsi="Arial"/>
          <w:sz w:val="22"/>
          <w:szCs w:val="22"/>
        </w:rPr>
        <w:t xml:space="preserve">Tire Technology Expo (Hanover). Goodyear-Monolith pivot reveal moment is now ~12 months old — Quantom should have characterization data and is ready to engage.</w:t>
      </w:r>
    </w:p>
    <w:p>
      <w:pPr>
        <w:pStyle w:val="ListParagraph"/>
        <w:numPr>
          <w:ilvl w:val="0"/>
          <w:numId w:val="3"/>
        </w:numPr>
        <w:spacing w:after="80"/>
      </w:pPr>
      <w:r>
        <w:rPr>
          <w:rFonts w:ascii="Arial" w:cs="Arial" w:eastAsia="Arial" w:hAnsi="Arial"/>
          <w:b/>
          <w:bCs/>
          <w:sz w:val="22"/>
          <w:szCs w:val="22"/>
        </w:rPr>
        <w:t xml:space="preserve">Q2 2027: </w:t>
      </w:r>
      <w:r>
        <w:rPr>
          <w:rFonts w:ascii="Arial" w:cs="Arial" w:eastAsia="Arial" w:hAnsi="Arial"/>
          <w:sz w:val="22"/>
          <w:szCs w:val="22"/>
        </w:rPr>
        <w:t xml:space="preserve">Carbon Black World Asia 2027. Tokai relationship should be at JDA stage. Birla Continua brand JDA target.</w:t>
      </w:r>
    </w:p>
    <w:p>
      <w:pPr>
        <w:pStyle w:val="Heading1"/>
        <w:spacing w:after="140" w:before="280"/>
      </w:pPr>
      <w:r>
        <w:rPr>
          <w:rFonts w:ascii="Arial" w:cs="Arial" w:eastAsia="Arial" w:hAnsi="Arial"/>
          <w:b/>
          <w:bCs/>
          <w:sz w:val="32"/>
          <w:szCs w:val="32"/>
        </w:rPr>
        <w:t xml:space="preserve">8. Prioritization Framework and Strategic Risks</w:t>
      </w:r>
    </w:p>
    <w:p>
      <w:pPr>
        <w:pStyle w:val="Heading2"/>
        <w:spacing w:after="140" w:before="280"/>
      </w:pPr>
      <w:r>
        <w:rPr>
          <w:rFonts w:ascii="Arial" w:cs="Arial" w:eastAsia="Arial" w:hAnsi="Arial"/>
          <w:b/>
          <w:bCs/>
          <w:sz w:val="26"/>
          <w:szCs w:val="26"/>
        </w:rPr>
        <w:t xml:space="preserve">8.1 Priority ranking — where to spend founder time</w:t>
      </w:r>
    </w:p>
    <w:p>
      <w:pPr>
        <w:spacing w:after="120"/>
      </w:pPr>
      <w:r>
        <w:rPr>
          <w:rFonts w:ascii="Arial" w:cs="Arial" w:eastAsia="Arial" w:hAnsi="Arial"/>
          <w:sz w:val="22"/>
          <w:szCs w:val="22"/>
        </w:rPr>
        <w:t xml:space="preserve">By regulatory urgency × Quantom-reactor fit × revenue accessibility, the priority order 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2100"/>
        <w:gridCol w:w="1500"/>
        <w:gridCol w:w="1500"/>
        <w:gridCol w:w="1500"/>
        <w:gridCol w:w="1960"/>
      </w:tblGrid>
      <w:tr>
        <w:trPr>
          <w:tblHeader/>
        </w:trPr>
        <w:tc>
          <w:tcPr>
            <w:tcW w:type="dxa" w:w="8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pPr>
              <w:spacing w:after="40"/>
            </w:pPr>
            <w:r>
              <w:rPr>
                <w:rFonts w:ascii="Arial" w:cs="Arial" w:eastAsia="Arial" w:hAnsi="Arial"/>
                <w:b/>
                <w:bCs/>
                <w:sz w:val="20"/>
                <w:szCs w:val="20"/>
              </w:rPr>
              <w:t xml:space="preserve">#</w:t>
            </w:r>
          </w:p>
        </w:tc>
        <w:tc>
          <w:tcPr>
            <w:tcW w:type="dxa" w:w="21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pPr>
              <w:spacing w:after="40"/>
            </w:pPr>
            <w:r>
              <w:rPr>
                <w:rFonts w:ascii="Arial" w:cs="Arial" w:eastAsia="Arial" w:hAnsi="Arial"/>
                <w:b/>
                <w:bCs/>
                <w:sz w:val="20"/>
                <w:szCs w:val="20"/>
              </w:rPr>
              <w:t xml:space="preserve">Vertical</w:t>
            </w:r>
          </w:p>
        </w:tc>
        <w:tc>
          <w:tcPr>
            <w:tcW w:type="dxa" w:w="15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pPr>
              <w:spacing w:after="40"/>
            </w:pPr>
            <w:r>
              <w:rPr>
                <w:rFonts w:ascii="Arial" w:cs="Arial" w:eastAsia="Arial" w:hAnsi="Arial"/>
                <w:b/>
                <w:bCs/>
                <w:sz w:val="20"/>
                <w:szCs w:val="20"/>
              </w:rPr>
              <w:t xml:space="preserve">Reg pull</w:t>
            </w:r>
          </w:p>
        </w:tc>
        <w:tc>
          <w:tcPr>
            <w:tcW w:type="dxa" w:w="15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pPr>
              <w:spacing w:after="40"/>
            </w:pPr>
            <w:r>
              <w:rPr>
                <w:rFonts w:ascii="Arial" w:cs="Arial" w:eastAsia="Arial" w:hAnsi="Arial"/>
                <w:b/>
                <w:bCs/>
                <w:sz w:val="20"/>
                <w:szCs w:val="20"/>
              </w:rPr>
              <w:t xml:space="preserve">Tech fit</w:t>
            </w:r>
          </w:p>
        </w:tc>
        <w:tc>
          <w:tcPr>
            <w:tcW w:type="dxa" w:w="15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pPr>
              <w:spacing w:after="40"/>
            </w:pPr>
            <w:r>
              <w:rPr>
                <w:rFonts w:ascii="Arial" w:cs="Arial" w:eastAsia="Arial" w:hAnsi="Arial"/>
                <w:b/>
                <w:bCs/>
                <w:sz w:val="20"/>
                <w:szCs w:val="20"/>
              </w:rPr>
              <w:t xml:space="preserve">Time-to-rev</w:t>
            </w:r>
          </w:p>
        </w:tc>
        <w:tc>
          <w:tcPr>
            <w:tcW w:type="dxa" w:w="196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pPr>
              <w:spacing w:after="40"/>
            </w:pPr>
            <w:r>
              <w:rPr>
                <w:rFonts w:ascii="Arial" w:cs="Arial" w:eastAsia="Arial" w:hAnsi="Arial"/>
                <w:b/>
                <w:bCs/>
                <w:sz w:val="20"/>
                <w:szCs w:val="20"/>
              </w:rPr>
              <w:t xml:space="preserve">Priority</w:t>
            </w:r>
          </w:p>
        </w:tc>
      </w:tr>
      <w:tr>
        <w:tc>
          <w:tcPr>
            <w:tcW w:type="dxa" w:w="8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b/>
                <w:bCs/>
                <w:sz w:val="20"/>
                <w:szCs w:val="20"/>
              </w:rPr>
              <w:t xml:space="preserve">1</w:t>
            </w:r>
          </w:p>
        </w:tc>
        <w:tc>
          <w:tcPr>
            <w:tcW w:type="dxa" w:w="21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Tire-grade carbon black (Michelin, Bridgestone/Tokai, Continental, Goodyear, Pirelli)</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HIGH (voluntary 2030 commitments + EU CSRD + EUDR)</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HIGH (Phase II reactor recipe; Michelin NDA already signed)</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18-30 months to first paid pilot</w:t>
            </w:r>
          </w:p>
        </w:tc>
        <w:tc>
          <w:tcPr>
            <w:tcW w:type="dxa" w:w="1960"/>
            <w:tcBorders>
              <w:top w:val="single" w:color="BBBBBB" w:sz="4"/>
              <w:left w:val="single" w:color="BBBBBB" w:sz="4"/>
              <w:bottom w:val="single" w:color="BBBBBB" w:sz="4"/>
              <w:right w:val="single" w:color="BBBBBB" w:sz="4"/>
            </w:tcBorders>
            <w:shd w:fill="FFE8D6" w:val="clear"/>
            <w:tcMar>
              <w:top w:type="dxa" w:w="80"/>
              <w:left w:type="dxa" w:w="120"/>
              <w:bottom w:type="dxa" w:w="80"/>
              <w:right w:type="dxa" w:w="120"/>
            </w:tcMar>
          </w:tcPr>
          <w:p>
            <w:pPr>
              <w:spacing w:after="40"/>
            </w:pPr>
            <w:r>
              <w:rPr>
                <w:rFonts w:ascii="Arial" w:cs="Arial" w:eastAsia="Arial" w:hAnsi="Arial"/>
                <w:sz w:val="20"/>
                <w:szCs w:val="20"/>
              </w:rPr>
              <w:t xml:space="preserve">CORE BEACHHEAD — already in deck</w:t>
            </w:r>
          </w:p>
        </w:tc>
      </w:tr>
      <w:tr>
        <w:tc>
          <w:tcPr>
            <w:tcW w:type="dxa" w:w="8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b/>
                <w:bCs/>
                <w:sz w:val="20"/>
                <w:szCs w:val="20"/>
              </w:rPr>
              <w:t xml:space="preserve">2</w:t>
            </w:r>
          </w:p>
        </w:tc>
        <w:tc>
          <w:tcPr>
            <w:tcW w:type="dxa" w:w="21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Carbon-removal credits (CORC, AMC, Frontier, 45Q)</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HIGH (mandatory ESG buyer demand; SBTi)</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HIGH (Phase I reactor recipe; pure stoichiometry)</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12-18 months from Puro methodology approval</w:t>
            </w:r>
          </w:p>
        </w:tc>
        <w:tc>
          <w:tcPr>
            <w:tcW w:type="dxa" w:w="1960"/>
            <w:tcBorders>
              <w:top w:val="single" w:color="BBBBBB" w:sz="4"/>
              <w:left w:val="single" w:color="BBBBBB" w:sz="4"/>
              <w:bottom w:val="single" w:color="BBBBBB" w:sz="4"/>
              <w:right w:val="single" w:color="BBBBBB" w:sz="4"/>
            </w:tcBorders>
            <w:shd w:fill="FFE8D6" w:val="clear"/>
            <w:tcMar>
              <w:top w:type="dxa" w:w="80"/>
              <w:left w:type="dxa" w:w="120"/>
              <w:bottom w:type="dxa" w:w="80"/>
              <w:right w:type="dxa" w:w="120"/>
            </w:tcMar>
          </w:tcPr>
          <w:p>
            <w:pPr>
              <w:spacing w:after="40"/>
            </w:pPr>
            <w:r>
              <w:rPr>
                <w:rFonts w:ascii="Arial" w:cs="Arial" w:eastAsia="Arial" w:hAnsi="Arial"/>
                <w:sz w:val="20"/>
                <w:szCs w:val="20"/>
              </w:rPr>
              <w:t xml:space="preserve">REVENUE FOUNDATION</w:t>
            </w:r>
          </w:p>
        </w:tc>
      </w:tr>
      <w:tr>
        <w:tc>
          <w:tcPr>
            <w:tcW w:type="dxa" w:w="8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b/>
                <w:bCs/>
                <w:sz w:val="20"/>
                <w:szCs w:val="20"/>
              </w:rPr>
              <w:t xml:space="preserve">3</w:t>
            </w:r>
          </w:p>
        </w:tc>
        <w:tc>
          <w:tcPr>
            <w:tcW w:type="dxa" w:w="21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Sodium-ion battery hard carbon (Kuraray, Stora Enso, CATL, BYD)</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BINDING (EU Battery Regulation 2026/2027/2030)</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MEDIUM (recipe characterization needed)</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24-36 months</w:t>
            </w:r>
          </w:p>
        </w:tc>
        <w:tc>
          <w:tcPr>
            <w:tcW w:type="dxa" w:w="1960"/>
            <w:tcBorders>
              <w:top w:val="single" w:color="BBBBBB" w:sz="4"/>
              <w:left w:val="single" w:color="BBBBBB" w:sz="4"/>
              <w:bottom w:val="single" w:color="BBBBBB" w:sz="4"/>
              <w:right w:val="single" w:color="BBBBBB" w:sz="4"/>
            </w:tcBorders>
            <w:shd w:fill="F0F7E8" w:val="clear"/>
            <w:tcMar>
              <w:top w:type="dxa" w:w="80"/>
              <w:left w:type="dxa" w:w="120"/>
              <w:bottom w:type="dxa" w:w="80"/>
              <w:right w:type="dxa" w:w="120"/>
            </w:tcMar>
          </w:tcPr>
          <w:p>
            <w:pPr>
              <w:spacing w:after="40"/>
            </w:pPr>
            <w:r>
              <w:rPr>
                <w:rFonts w:ascii="Arial" w:cs="Arial" w:eastAsia="Arial" w:hAnsi="Arial"/>
                <w:sz w:val="20"/>
                <w:szCs w:val="20"/>
              </w:rPr>
              <w:t xml:space="preserve">SECONDARY EXPANSION</w:t>
            </w:r>
          </w:p>
        </w:tc>
      </w:tr>
      <w:tr>
        <w:tc>
          <w:tcPr>
            <w:tcW w:type="dxa" w:w="8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b/>
                <w:bCs/>
                <w:sz w:val="20"/>
                <w:szCs w:val="20"/>
              </w:rPr>
              <w:t xml:space="preserve">4</w:t>
            </w:r>
          </w:p>
        </w:tc>
        <w:tc>
          <w:tcPr>
            <w:tcW w:type="dxa" w:w="21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PFAS activated carbon (Cabot, Calgon/Kuraray, Jacobi)</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BINDING (EPA 2024 PFAS rule, WIFIA funding)</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MEDIUM (activation step beyond core recipe)</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18-30 months</w:t>
            </w:r>
          </w:p>
        </w:tc>
        <w:tc>
          <w:tcPr>
            <w:tcW w:type="dxa" w:w="1960"/>
            <w:tcBorders>
              <w:top w:val="single" w:color="BBBBBB" w:sz="4"/>
              <w:left w:val="single" w:color="BBBBBB" w:sz="4"/>
              <w:bottom w:val="single" w:color="BBBBBB" w:sz="4"/>
              <w:right w:val="single" w:color="BBBBBB" w:sz="4"/>
            </w:tcBorders>
            <w:shd w:fill="F0F7E8" w:val="clear"/>
            <w:tcMar>
              <w:top w:type="dxa" w:w="80"/>
              <w:left w:type="dxa" w:w="120"/>
              <w:bottom w:type="dxa" w:w="80"/>
              <w:right w:type="dxa" w:w="120"/>
            </w:tcMar>
          </w:tcPr>
          <w:p>
            <w:pPr>
              <w:spacing w:after="40"/>
            </w:pPr>
            <w:r>
              <w:rPr>
                <w:rFonts w:ascii="Arial" w:cs="Arial" w:eastAsia="Arial" w:hAnsi="Arial"/>
                <w:sz w:val="20"/>
                <w:szCs w:val="20"/>
              </w:rPr>
              <w:t xml:space="preserve">MARGIN OPTIONALITY</w:t>
            </w:r>
          </w:p>
        </w:tc>
      </w:tr>
      <w:tr>
        <w:tc>
          <w:tcPr>
            <w:tcW w:type="dxa" w:w="8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b/>
                <w:bCs/>
                <w:sz w:val="20"/>
                <w:szCs w:val="20"/>
              </w:rPr>
              <w:t xml:space="preserve">5</w:t>
            </w:r>
          </w:p>
        </w:tc>
        <w:tc>
          <w:tcPr>
            <w:tcW w:type="dxa" w:w="21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Conductive CB / CNT for Li-ion batteries (Imerys, Cabot, Orion)</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BINDING (EU Battery Reg + EV demand)</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HIGH (extends Phase II recipe)</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24-36 months</w:t>
            </w:r>
          </w:p>
        </w:tc>
        <w:tc>
          <w:tcPr>
            <w:tcW w:type="dxa" w:w="1960"/>
            <w:tcBorders>
              <w:top w:val="single" w:color="BBBBBB" w:sz="4"/>
              <w:left w:val="single" w:color="BBBBBB" w:sz="4"/>
              <w:bottom w:val="single" w:color="BBBBBB" w:sz="4"/>
              <w:right w:val="single" w:color="BBBBBB" w:sz="4"/>
            </w:tcBorders>
            <w:shd w:fill="F0F7E8" w:val="clear"/>
            <w:tcMar>
              <w:top w:type="dxa" w:w="80"/>
              <w:left w:type="dxa" w:w="120"/>
              <w:bottom w:type="dxa" w:w="80"/>
              <w:right w:type="dxa" w:w="120"/>
            </w:tcMar>
          </w:tcPr>
          <w:p>
            <w:pPr>
              <w:spacing w:after="40"/>
            </w:pPr>
            <w:r>
              <w:rPr>
                <w:rFonts w:ascii="Arial" w:cs="Arial" w:eastAsia="Arial" w:hAnsi="Arial"/>
                <w:sz w:val="20"/>
                <w:szCs w:val="20"/>
              </w:rPr>
              <w:t xml:space="preserve">SECONDARY EXPANSION</w:t>
            </w:r>
          </w:p>
        </w:tc>
      </w:tr>
      <w:tr>
        <w:tc>
          <w:tcPr>
            <w:tcW w:type="dxa" w:w="8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b/>
                <w:bCs/>
                <w:sz w:val="20"/>
                <w:szCs w:val="20"/>
              </w:rPr>
              <w:t xml:space="preserve">6</w:t>
            </w:r>
          </w:p>
        </w:tc>
        <w:tc>
          <w:tcPr>
            <w:tcW w:type="dxa" w:w="21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Graphene-enhanced cement admixtures (Holcim, HeidelbergCement, Lyten, First Graphene)</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HIGH (CBAM Phase 1 cement + cement net-zero roadmap)</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LOW initially (Phase III only); MEDIUM at scale</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36-60 months</w:t>
            </w:r>
          </w:p>
        </w:tc>
        <w:tc>
          <w:tcPr>
            <w:tcW w:type="dxa" w:w="1960"/>
            <w:tcBorders>
              <w:top w:val="single" w:color="BBBBBB" w:sz="4"/>
              <w:left w:val="single" w:color="BBBBBB" w:sz="4"/>
              <w:bottom w:val="single" w:color="BBBBBB" w:sz="4"/>
              <w:right w:val="single" w:color="BBBBBB" w:sz="4"/>
            </w:tcBorders>
            <w:shd w:fill="E8F0F7" w:val="clear"/>
            <w:tcMar>
              <w:top w:type="dxa" w:w="80"/>
              <w:left w:type="dxa" w:w="120"/>
              <w:bottom w:type="dxa" w:w="80"/>
              <w:right w:type="dxa" w:w="120"/>
            </w:tcMar>
          </w:tcPr>
          <w:p>
            <w:pPr>
              <w:spacing w:after="40"/>
            </w:pPr>
            <w:r>
              <w:rPr>
                <w:rFonts w:ascii="Arial" w:cs="Arial" w:eastAsia="Arial" w:hAnsi="Arial"/>
                <w:sz w:val="20"/>
                <w:szCs w:val="20"/>
              </w:rPr>
              <w:t xml:space="preserve">LONG-TERM OPTIONALITY</w:t>
            </w:r>
          </w:p>
        </w:tc>
      </w:tr>
      <w:tr>
        <w:tc>
          <w:tcPr>
            <w:tcW w:type="dxa" w:w="8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b/>
                <w:bCs/>
                <w:sz w:val="20"/>
                <w:szCs w:val="20"/>
              </w:rPr>
              <w:t xml:space="preserve">7</w:t>
            </w:r>
          </w:p>
        </w:tc>
        <w:tc>
          <w:tcPr>
            <w:tcW w:type="dxa" w:w="21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Aerospace &amp; defense carbon-fiber composites (Lockheed, SpaceX)</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MEDIUM (carbon targets, but no binding mandate)</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MEDIUM (specialty grades)</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spacing w:after="40"/>
            </w:pPr>
            <w:r>
              <w:rPr>
                <w:rFonts w:ascii="Arial" w:cs="Arial" w:eastAsia="Arial" w:hAnsi="Arial"/>
                <w:sz w:val="20"/>
                <w:szCs w:val="20"/>
              </w:rPr>
              <w:t xml:space="preserve">60-84 months</w:t>
            </w:r>
          </w:p>
        </w:tc>
        <w:tc>
          <w:tcPr>
            <w:tcW w:type="dxa" w:w="1960"/>
            <w:tcBorders>
              <w:top w:val="single" w:color="BBBBBB" w:sz="4"/>
              <w:left w:val="single" w:color="BBBBBB" w:sz="4"/>
              <w:bottom w:val="single" w:color="BBBBBB" w:sz="4"/>
              <w:right w:val="single" w:color="BBBBBB" w:sz="4"/>
            </w:tcBorders>
            <w:shd w:fill="E8F0F7" w:val="clear"/>
            <w:tcMar>
              <w:top w:type="dxa" w:w="80"/>
              <w:left w:type="dxa" w:w="120"/>
              <w:bottom w:type="dxa" w:w="80"/>
              <w:right w:type="dxa" w:w="120"/>
            </w:tcMar>
          </w:tcPr>
          <w:p>
            <w:pPr>
              <w:spacing w:after="40"/>
            </w:pPr>
            <w:r>
              <w:rPr>
                <w:rFonts w:ascii="Arial" w:cs="Arial" w:eastAsia="Arial" w:hAnsi="Arial"/>
                <w:sz w:val="20"/>
                <w:szCs w:val="20"/>
              </w:rPr>
              <w:t xml:space="preserve">KEEP WARM, SERIES A+</w:t>
            </w:r>
          </w:p>
        </w:tc>
      </w:tr>
    </w:tbl>
    <w:p>
      <w:pPr>
        <w:pStyle w:val="Heading2"/>
        <w:spacing w:after="140" w:before="280"/>
      </w:pPr>
      <w:r>
        <w:rPr>
          <w:rFonts w:ascii="Arial" w:cs="Arial" w:eastAsia="Arial" w:hAnsi="Arial"/>
          <w:b/>
          <w:bCs/>
          <w:sz w:val="26"/>
          <w:szCs w:val="26"/>
        </w:rPr>
        <w:t xml:space="preserve">8.2 What could break this plan</w:t>
      </w:r>
    </w:p>
    <w:p>
      <w:pPr>
        <w:pStyle w:val="ListParagraph"/>
        <w:numPr>
          <w:ilvl w:val="0"/>
          <w:numId w:val="3"/>
        </w:numPr>
        <w:spacing w:after="80"/>
      </w:pPr>
      <w:r>
        <w:rPr>
          <w:rFonts w:ascii="Arial" w:cs="Arial" w:eastAsia="Arial" w:hAnsi="Arial"/>
          <w:b/>
          <w:bCs/>
          <w:sz w:val="22"/>
          <w:szCs w:val="22"/>
        </w:rPr>
        <w:t xml:space="preserve">Faradaic efficiency stays at 30%. </w:t>
      </w:r>
      <w:r>
        <w:rPr>
          <w:rFonts w:ascii="Arial" w:cs="Arial" w:eastAsia="Arial" w:hAnsi="Arial"/>
          <w:sz w:val="22"/>
          <w:szCs w:val="22"/>
        </w:rPr>
        <w:t xml:space="preserve">Tire-grade carbon black economics need 60% FE (Phase II target per deck). If FE stalls at the bear-case 30%, Quantom remains credit-led and the tire-CB pitch is delayed by 12-24 months. Battery hard carbon is more tolerant of 30% FE because the value-per-ton is higher.</w:t>
      </w:r>
    </w:p>
    <w:p>
      <w:pPr>
        <w:pStyle w:val="ListParagraph"/>
        <w:numPr>
          <w:ilvl w:val="0"/>
          <w:numId w:val="3"/>
        </w:numPr>
        <w:spacing w:after="80"/>
      </w:pPr>
      <w:r>
        <w:rPr>
          <w:rFonts w:ascii="Arial" w:cs="Arial" w:eastAsia="Arial" w:hAnsi="Arial"/>
          <w:b/>
          <w:bCs/>
          <w:sz w:val="22"/>
          <w:szCs w:val="22"/>
        </w:rPr>
        <w:t xml:space="preserve">Puro methodology approval delays. </w:t>
      </w:r>
      <w:r>
        <w:rPr>
          <w:rFonts w:ascii="Arial" w:cs="Arial" w:eastAsia="Arial" w:hAnsi="Arial"/>
          <w:sz w:val="22"/>
          <w:szCs w:val="22"/>
        </w:rPr>
        <w:t xml:space="preserve">If the electrochemical CO2-to-solid-carbon methodology takes 24-36 months instead of 18-24, Track A revenue (CORC offtake) slips. This is the largest single revenue assumption in the deck's Year 3 scenario.</w:t>
      </w:r>
    </w:p>
    <w:p>
      <w:pPr>
        <w:pStyle w:val="ListParagraph"/>
        <w:numPr>
          <w:ilvl w:val="0"/>
          <w:numId w:val="3"/>
        </w:numPr>
        <w:spacing w:after="80"/>
      </w:pPr>
      <w:r>
        <w:rPr>
          <w:rFonts w:ascii="Arial" w:cs="Arial" w:eastAsia="Arial" w:hAnsi="Arial"/>
          <w:b/>
          <w:bCs/>
          <w:sz w:val="22"/>
          <w:szCs w:val="22"/>
        </w:rPr>
        <w:t xml:space="preserve">Tokai or Cabot license preference. </w:t>
      </w:r>
      <w:r>
        <w:rPr>
          <w:rFonts w:ascii="Arial" w:cs="Arial" w:eastAsia="Arial" w:hAnsi="Arial"/>
          <w:sz w:val="22"/>
          <w:szCs w:val="22"/>
        </w:rPr>
        <w:t xml:space="preserve">If Tokai or Cabot move first to license a competing electrochemical platform (currently no such platform exists per the Anti-Nucleation memo), Quantom's licensing optionality narrows. Need to lock first-mover MRV category by 2027.</w:t>
      </w:r>
    </w:p>
    <w:p>
      <w:pPr>
        <w:pStyle w:val="ListParagraph"/>
        <w:numPr>
          <w:ilvl w:val="0"/>
          <w:numId w:val="3"/>
        </w:numPr>
        <w:spacing w:after="80"/>
      </w:pPr>
      <w:r>
        <w:rPr>
          <w:rFonts w:ascii="Arial" w:cs="Arial" w:eastAsia="Arial" w:hAnsi="Arial"/>
          <w:b/>
          <w:bCs/>
          <w:sz w:val="22"/>
          <w:szCs w:val="22"/>
        </w:rPr>
        <w:t xml:space="preserve">Tire industry consolidation slows. </w:t>
      </w:r>
      <w:r>
        <w:rPr>
          <w:rFonts w:ascii="Arial" w:cs="Arial" w:eastAsia="Arial" w:hAnsi="Arial"/>
          <w:sz w:val="22"/>
          <w:szCs w:val="22"/>
        </w:rPr>
        <w:t xml:space="preserve">Michelin closing Cholet and Vannes (early 2026), Goodyear closing Fayetteville (end-2027), Bridgestone selling CB assets — the Western tire industry is contracting, not expanding. The "supply gap" thesis depends on the majors continuing to push 2030 commitments through that contraction. Watch for political reversal under CBAM/CSRD review.</w:t>
      </w:r>
    </w:p>
    <w:p>
      <w:r>
        <w:br w:type="page"/>
      </w:r>
    </w:p>
    <w:p>
      <w:pPr>
        <w:pStyle w:val="Heading1"/>
        <w:spacing w:after="140" w:before="280"/>
      </w:pPr>
      <w:r>
        <w:rPr>
          <w:rFonts w:ascii="Arial" w:cs="Arial" w:eastAsia="Arial" w:hAnsi="Arial"/>
          <w:b/>
          <w:bCs/>
          <w:sz w:val="32"/>
          <w:szCs w:val="32"/>
        </w:rPr>
        <w:t xml:space="preserve">9. References and Citations</w:t>
      </w:r>
    </w:p>
    <w:p>
      <w:pPr>
        <w:spacing w:after="120"/>
      </w:pPr>
      <w:r>
        <w:rPr>
          <w:rFonts w:ascii="Arial" w:cs="Arial" w:eastAsia="Arial" w:hAnsi="Arial"/>
          <w:sz w:val="22"/>
          <w:szCs w:val="22"/>
        </w:rPr>
        <w:t xml:space="preserve">All public claims in this memo are sourced from web research conducted May 17, 2026. The list below documents the primary sources. Internal Quantom documents (deck v32, Anti-Nucleation memo to J. Winter, Anti-Bias letter to Grace Lowe, Puro/Tire Revenue Pathways memo, Carbon Policy Impact Analysis memo) are referenced inline but not enumerated here.</w:t>
      </w:r>
    </w:p>
    <w:p>
      <w:pPr>
        <w:pStyle w:val="Heading2"/>
        <w:spacing w:after="140" w:before="280"/>
      </w:pPr>
      <w:r>
        <w:rPr>
          <w:rFonts w:ascii="Arial" w:cs="Arial" w:eastAsia="Arial" w:hAnsi="Arial"/>
          <w:b/>
          <w:bCs/>
          <w:sz w:val="26"/>
          <w:szCs w:val="26"/>
        </w:rPr>
        <w:t xml:space="preserve">Tire majors — sustainability commitments and contacts</w:t>
      </w:r>
    </w:p>
    <w:p>
      <w:pPr>
        <w:pStyle w:val="ListParagraph"/>
        <w:numPr>
          <w:ilvl w:val="0"/>
          <w:numId w:val="3"/>
        </w:numPr>
        <w:spacing w:after="80"/>
      </w:pPr>
      <w:r>
        <w:rPr>
          <w:rFonts w:ascii="Arial" w:cs="Arial" w:eastAsia="Arial" w:hAnsi="Arial"/>
          <w:sz w:val="22"/>
          <w:szCs w:val="22"/>
        </w:rPr>
        <w:t xml:space="preserve">Michelin All-Sustainable Tire program: michelin.com/en/media/magazine/michelin-and-the-all-sustainable-tire (Michelin Group)</w:t>
      </w:r>
    </w:p>
    <w:p>
      <w:pPr>
        <w:pStyle w:val="ListParagraph"/>
        <w:numPr>
          <w:ilvl w:val="0"/>
          <w:numId w:val="3"/>
        </w:numPr>
        <w:spacing w:after="80"/>
      </w:pPr>
      <w:r>
        <w:rPr>
          <w:rFonts w:ascii="Arial" w:cs="Arial" w:eastAsia="Arial" w:hAnsi="Arial"/>
          <w:sz w:val="22"/>
          <w:szCs w:val="22"/>
        </w:rPr>
        <w:t xml:space="preserve">Michelin announces Fabien Gaboriaud as SVP Sustainable Materials &amp; Circularity, board representative at Enviro: cision.com/scandinavian-enviro-systems (July 13, 2023); european-rubber-journal.com (2023)</w:t>
      </w:r>
    </w:p>
    <w:p>
      <w:pPr>
        <w:pStyle w:val="ListParagraph"/>
        <w:numPr>
          <w:ilvl w:val="0"/>
          <w:numId w:val="3"/>
        </w:numPr>
        <w:spacing w:after="80"/>
      </w:pPr>
      <w:r>
        <w:rPr>
          <w:rFonts w:ascii="Arial" w:cs="Arial" w:eastAsia="Arial" w:hAnsi="Arial"/>
          <w:sz w:val="22"/>
          <w:szCs w:val="22"/>
        </w:rPr>
        <w:t xml:space="preserve">Bridgestone &amp; Michelin Joint White Paper on Recovered Carbon Black: rcbrubber.com (November 6, 2023); bridgestoneamericas.com press release</w:t>
      </w:r>
    </w:p>
    <w:p>
      <w:pPr>
        <w:pStyle w:val="ListParagraph"/>
        <w:numPr>
          <w:ilvl w:val="0"/>
          <w:numId w:val="3"/>
        </w:numPr>
        <w:spacing w:after="80"/>
      </w:pPr>
      <w:r>
        <w:rPr>
          <w:rFonts w:ascii="Arial" w:cs="Arial" w:eastAsia="Arial" w:hAnsi="Arial"/>
          <w:sz w:val="22"/>
          <w:szCs w:val="22"/>
        </w:rPr>
        <w:t xml:space="preserve">Bridgestone-Tokai Carbon joint eCB project, NEDO-funded: bridgestone.com/corporate/news/2025013001.html (January 30, 2025); tyre-trends.com</w:t>
      </w:r>
    </w:p>
    <w:p>
      <w:pPr>
        <w:pStyle w:val="ListParagraph"/>
        <w:numPr>
          <w:ilvl w:val="0"/>
          <w:numId w:val="3"/>
        </w:numPr>
        <w:spacing w:after="80"/>
      </w:pPr>
      <w:r>
        <w:rPr>
          <w:rFonts w:ascii="Arial" w:cs="Arial" w:eastAsia="Arial" w:hAnsi="Arial"/>
          <w:sz w:val="22"/>
          <w:szCs w:val="22"/>
        </w:rPr>
        <w:t xml:space="preserve">Bridgestone sells Thai BSCB to Tokai Carbon: notchconsulting.com (July 2025); bridgestone.com/corporate/news/pdf/2025070701.pdf</w:t>
      </w:r>
    </w:p>
    <w:p>
      <w:pPr>
        <w:pStyle w:val="ListParagraph"/>
        <w:numPr>
          <w:ilvl w:val="0"/>
          <w:numId w:val="3"/>
        </w:numPr>
        <w:spacing w:after="80"/>
      </w:pPr>
      <w:r>
        <w:rPr>
          <w:rFonts w:ascii="Arial" w:cs="Arial" w:eastAsia="Arial" w:hAnsi="Arial"/>
          <w:sz w:val="22"/>
          <w:szCs w:val="22"/>
        </w:rPr>
        <w:t xml:space="preserve">Bridgestone sells Mexico CB plant to Cabot: mordorintelligence.com Carbon Black Market Report (August 2025)</w:t>
      </w:r>
    </w:p>
    <w:p>
      <w:pPr>
        <w:pStyle w:val="ListParagraph"/>
        <w:numPr>
          <w:ilvl w:val="0"/>
          <w:numId w:val="3"/>
        </w:numPr>
        <w:spacing w:after="80"/>
      </w:pPr>
      <w:r>
        <w:rPr>
          <w:rFonts w:ascii="Arial" w:cs="Arial" w:eastAsia="Arial" w:hAnsi="Arial"/>
          <w:sz w:val="22"/>
          <w:szCs w:val="22"/>
        </w:rPr>
        <w:t xml:space="preserve">Monolith-Goodyear collaboration (2021 LOI; 2023 ElectricDrive GT commercial launch): monolith-corp.com press releases; cen.acs.org (March 25, 2023)</w:t>
      </w:r>
    </w:p>
    <w:p>
      <w:pPr>
        <w:pStyle w:val="ListParagraph"/>
        <w:numPr>
          <w:ilvl w:val="0"/>
          <w:numId w:val="3"/>
        </w:numPr>
        <w:spacing w:after="80"/>
      </w:pPr>
      <w:r>
        <w:rPr>
          <w:rFonts w:ascii="Arial" w:cs="Arial" w:eastAsia="Arial" w:hAnsi="Arial"/>
          <w:sz w:val="22"/>
          <w:szCs w:val="22"/>
        </w:rPr>
        <w:t xml:space="preserve">Monolith pivots from methane pyrolysis to heavy residual fuel oil feedstock: notchconsulting.com (March 2026)</w:t>
      </w:r>
    </w:p>
    <w:p>
      <w:pPr>
        <w:pStyle w:val="ListParagraph"/>
        <w:numPr>
          <w:ilvl w:val="0"/>
          <w:numId w:val="3"/>
        </w:numPr>
        <w:spacing w:after="80"/>
      </w:pPr>
      <w:r>
        <w:rPr>
          <w:rFonts w:ascii="Arial" w:cs="Arial" w:eastAsia="Arial" w:hAnsi="Arial"/>
          <w:sz w:val="22"/>
          <w:szCs w:val="22"/>
        </w:rPr>
        <w:t xml:space="preserve">Continental-Pyrum 10-year framework agreement; Korbach forklift tire 100% rCB: continental.com/en/press/press-releases/20240730-pyrum-10-years (July 30, 2024); oemupdate.com</w:t>
      </w:r>
    </w:p>
    <w:p>
      <w:pPr>
        <w:pStyle w:val="ListParagraph"/>
        <w:numPr>
          <w:ilvl w:val="0"/>
          <w:numId w:val="3"/>
        </w:numPr>
        <w:spacing w:after="80"/>
      </w:pPr>
      <w:r>
        <w:rPr>
          <w:rFonts w:ascii="Arial" w:cs="Arial" w:eastAsia="Arial" w:hAnsi="Arial"/>
          <w:sz w:val="22"/>
          <w:szCs w:val="22"/>
        </w:rPr>
        <w:t xml:space="preserve">Continental LANXESS Vulkanox HS Scopeblue (first tire maker): lanxess.com/en/media/press-releases/2025/09 (September 2025); autocarpro.in</w:t>
      </w:r>
    </w:p>
    <w:p>
      <w:pPr>
        <w:pStyle w:val="ListParagraph"/>
        <w:numPr>
          <w:ilvl w:val="0"/>
          <w:numId w:val="3"/>
        </w:numPr>
        <w:spacing w:after="80"/>
      </w:pPr>
      <w:r>
        <w:rPr>
          <w:rFonts w:ascii="Arial" w:cs="Arial" w:eastAsia="Arial" w:hAnsi="Arial"/>
          <w:sz w:val="22"/>
          <w:szCs w:val="22"/>
        </w:rPr>
        <w:t xml:space="preserve">Jorge Almeida appointed Continental Head of Sustainability (May 2023): continental.com/en/press/press-releases/20230511; rubbernews.com; moderntiredealer.com</w:t>
      </w:r>
    </w:p>
    <w:p>
      <w:pPr>
        <w:pStyle w:val="ListParagraph"/>
        <w:numPr>
          <w:ilvl w:val="0"/>
          <w:numId w:val="3"/>
        </w:numPr>
        <w:spacing w:after="80"/>
      </w:pPr>
      <w:r>
        <w:rPr>
          <w:rFonts w:ascii="Arial" w:cs="Arial" w:eastAsia="Arial" w:hAnsi="Arial"/>
          <w:sz w:val="22"/>
          <w:szCs w:val="22"/>
        </w:rPr>
        <w:t xml:space="preserve">Pirelli first 70%+ sustainable production tire with JLR Range Rover: press.pirelli.com (July 9, 2025); european-rubber-journal.com; rubberworld.com</w:t>
      </w:r>
    </w:p>
    <w:p>
      <w:pPr>
        <w:pStyle w:val="ListParagraph"/>
        <w:numPr>
          <w:ilvl w:val="0"/>
          <w:numId w:val="3"/>
        </w:numPr>
        <w:spacing w:after="80"/>
      </w:pPr>
      <w:r>
        <w:rPr>
          <w:rFonts w:ascii="Arial" w:cs="Arial" w:eastAsia="Arial" w:hAnsi="Arial"/>
          <w:sz w:val="22"/>
          <w:szCs w:val="22"/>
        </w:rPr>
        <w:t xml:space="preserve">Matteo Battaini, Head of Sustainability &amp; Future Mobility, Pirelli: sustainabilitymag.com (August 2024); corporate.pirelli.com</w:t>
      </w:r>
    </w:p>
    <w:p>
      <w:pPr>
        <w:pStyle w:val="ListParagraph"/>
        <w:numPr>
          <w:ilvl w:val="0"/>
          <w:numId w:val="3"/>
        </w:numPr>
        <w:spacing w:after="80"/>
      </w:pPr>
      <w:r>
        <w:rPr>
          <w:rFonts w:ascii="Arial" w:cs="Arial" w:eastAsia="Arial" w:hAnsi="Arial"/>
          <w:sz w:val="22"/>
          <w:szCs w:val="22"/>
        </w:rPr>
        <w:t xml:space="preserve">Goodyear ElectricDrive Sustainable-material Tire (China launch November 2024): manufacturingdigital.com; evmagazine.com</w:t>
      </w:r>
    </w:p>
    <w:p>
      <w:pPr>
        <w:pStyle w:val="ListParagraph"/>
        <w:numPr>
          <w:ilvl w:val="0"/>
          <w:numId w:val="3"/>
        </w:numPr>
        <w:spacing w:after="80"/>
      </w:pPr>
      <w:r>
        <w:rPr>
          <w:rFonts w:ascii="Arial" w:cs="Arial" w:eastAsia="Arial" w:hAnsi="Arial"/>
          <w:sz w:val="22"/>
          <w:szCs w:val="22"/>
        </w:rPr>
        <w:t xml:space="preserve">Goodyear 2025 Climate Transition Plan, SBTi-verified: corporate.goodyear.com/content/dam/goodyear-corp/documents/responsibility/goodyear-2025-climate-transition-plan.pdf</w:t>
      </w:r>
    </w:p>
    <w:p>
      <w:pPr>
        <w:pStyle w:val="Heading2"/>
        <w:spacing w:after="140" w:before="280"/>
      </w:pPr>
      <w:r>
        <w:rPr>
          <w:rFonts w:ascii="Arial" w:cs="Arial" w:eastAsia="Arial" w:hAnsi="Arial"/>
          <w:b/>
          <w:bCs/>
          <w:sz w:val="26"/>
          <w:szCs w:val="26"/>
        </w:rPr>
        <w:t xml:space="preserve">Carbon black producers</w:t>
      </w:r>
    </w:p>
    <w:p>
      <w:pPr>
        <w:pStyle w:val="ListParagraph"/>
        <w:numPr>
          <w:ilvl w:val="0"/>
          <w:numId w:val="3"/>
        </w:numPr>
        <w:spacing w:after="80"/>
      </w:pPr>
      <w:r>
        <w:rPr>
          <w:rFonts w:ascii="Arial" w:cs="Arial" w:eastAsia="Arial" w:hAnsi="Arial"/>
          <w:sz w:val="22"/>
          <w:szCs w:val="22"/>
        </w:rPr>
        <w:t xml:space="preserve">Cabot Corporation $50M Ohio/Texas activated carbon expansion 2024; sustainable carbon strategy: skyquestt.com Carbon Black Market analysis</w:t>
      </w:r>
    </w:p>
    <w:p>
      <w:pPr>
        <w:pStyle w:val="ListParagraph"/>
        <w:numPr>
          <w:ilvl w:val="0"/>
          <w:numId w:val="3"/>
        </w:numPr>
        <w:spacing w:after="80"/>
      </w:pPr>
      <w:r>
        <w:rPr>
          <w:rFonts w:ascii="Arial" w:cs="Arial" w:eastAsia="Arial" w:hAnsi="Arial"/>
          <w:sz w:val="22"/>
          <w:szCs w:val="22"/>
        </w:rPr>
        <w:t xml:space="preserve">Birla Carbon Continua™ Sustainable Carbonaceous Material with Circtec: birlacarbon.com; chemanalyst.com</w:t>
      </w:r>
    </w:p>
    <w:p>
      <w:pPr>
        <w:pStyle w:val="ListParagraph"/>
        <w:numPr>
          <w:ilvl w:val="0"/>
          <w:numId w:val="3"/>
        </w:numPr>
        <w:spacing w:after="80"/>
      </w:pPr>
      <w:r>
        <w:rPr>
          <w:rFonts w:ascii="Arial" w:cs="Arial" w:eastAsia="Arial" w:hAnsi="Arial"/>
          <w:sz w:val="22"/>
          <w:szCs w:val="22"/>
        </w:rPr>
        <w:t xml:space="preserve">Birla Carbon CACM 2026 conference (February 17, 2026): birlacarbon.com news release</w:t>
      </w:r>
    </w:p>
    <w:p>
      <w:pPr>
        <w:pStyle w:val="ListParagraph"/>
        <w:numPr>
          <w:ilvl w:val="0"/>
          <w:numId w:val="3"/>
        </w:numPr>
        <w:spacing w:after="80"/>
      </w:pPr>
      <w:r>
        <w:rPr>
          <w:rFonts w:ascii="Arial" w:cs="Arial" w:eastAsia="Arial" w:hAnsi="Arial"/>
          <w:sz w:val="22"/>
          <w:szCs w:val="22"/>
        </w:rPr>
        <w:t xml:space="preserve">Orion Engineered Carbons exclusive Alpha Carbone tire pyrolysis oil offtake (February 2025): expertmarketresearch.com Top 10 Carbon Black Companies 2026</w:t>
      </w:r>
    </w:p>
    <w:p>
      <w:pPr>
        <w:pStyle w:val="ListParagraph"/>
        <w:numPr>
          <w:ilvl w:val="0"/>
          <w:numId w:val="3"/>
        </w:numPr>
        <w:spacing w:after="80"/>
      </w:pPr>
      <w:r>
        <w:rPr>
          <w:rFonts w:ascii="Arial" w:cs="Arial" w:eastAsia="Arial" w:hAnsi="Arial"/>
          <w:sz w:val="22"/>
          <w:szCs w:val="22"/>
        </w:rPr>
        <w:t xml:space="preserve">Tokai Carbon CB ISCC PLUS certification at two plants: weibold.com; rubberworld.com</w:t>
      </w:r>
    </w:p>
    <w:p>
      <w:pPr>
        <w:pStyle w:val="Heading2"/>
        <w:spacing w:after="140" w:before="280"/>
      </w:pPr>
      <w:r>
        <w:rPr>
          <w:rFonts w:ascii="Arial" w:cs="Arial" w:eastAsia="Arial" w:hAnsi="Arial"/>
          <w:b/>
          <w:bCs/>
          <w:sz w:val="26"/>
          <w:szCs w:val="26"/>
        </w:rPr>
        <w:t xml:space="preserve">Industry events and standards bodies</w:t>
      </w:r>
    </w:p>
    <w:p>
      <w:pPr>
        <w:pStyle w:val="ListParagraph"/>
        <w:numPr>
          <w:ilvl w:val="0"/>
          <w:numId w:val="3"/>
        </w:numPr>
        <w:spacing w:after="80"/>
      </w:pPr>
      <w:r>
        <w:rPr>
          <w:rFonts w:ascii="Arial" w:cs="Arial" w:eastAsia="Arial" w:hAnsi="Arial"/>
          <w:sz w:val="22"/>
          <w:szCs w:val="22"/>
        </w:rPr>
        <w:t xml:space="preserve">Tire Industry Project (TIP) member companies (Bridgestone, Continental, Cooper Tire, Goodyear, Hankook, Kumho, Michelin, Pirelli, Sumitomo Rubber, Toyo, Yokohama); 60-65% of world tire manufacturing capacity: wbcsd.org/actions/tire-industry-project; tireindustryproject.org</w:t>
      </w:r>
    </w:p>
    <w:p>
      <w:pPr>
        <w:pStyle w:val="ListParagraph"/>
        <w:numPr>
          <w:ilvl w:val="0"/>
          <w:numId w:val="3"/>
        </w:numPr>
        <w:spacing w:after="80"/>
      </w:pPr>
      <w:r>
        <w:rPr>
          <w:rFonts w:ascii="Arial" w:cs="Arial" w:eastAsia="Arial" w:hAnsi="Arial"/>
          <w:sz w:val="22"/>
          <w:szCs w:val="22"/>
        </w:rPr>
        <w:t xml:space="preserve">Tire Industry Project updated Product Category Rules (PCR), March 16, 2026 with UL Environment: 3blmedia.com; sustainabilityhq.com</w:t>
      </w:r>
    </w:p>
    <w:p>
      <w:pPr>
        <w:pStyle w:val="ListParagraph"/>
        <w:numPr>
          <w:ilvl w:val="0"/>
          <w:numId w:val="3"/>
        </w:numPr>
        <w:spacing w:after="80"/>
      </w:pPr>
      <w:r>
        <w:rPr>
          <w:rFonts w:ascii="Arial" w:cs="Arial" w:eastAsia="Arial" w:hAnsi="Arial"/>
          <w:sz w:val="22"/>
          <w:szCs w:val="22"/>
        </w:rPr>
        <w:t xml:space="preserve">Carbon Black World Asia 2026 (April 22-23, Shanghai): carbonblackworld.com; weibold.com agenda announcement</w:t>
      </w:r>
    </w:p>
    <w:p>
      <w:pPr>
        <w:pStyle w:val="ListParagraph"/>
        <w:numPr>
          <w:ilvl w:val="0"/>
          <w:numId w:val="3"/>
        </w:numPr>
        <w:spacing w:after="80"/>
      </w:pPr>
      <w:r>
        <w:rPr>
          <w:rFonts w:ascii="Arial" w:cs="Arial" w:eastAsia="Arial" w:hAnsi="Arial"/>
          <w:sz w:val="22"/>
          <w:szCs w:val="22"/>
        </w:rPr>
        <w:t xml:space="preserve">Recovered Carbon Black Europe 2026 (Schiphol, November 3-5): smithers.com; tyreandrubberrecycling.com</w:t>
      </w:r>
    </w:p>
    <w:p>
      <w:pPr>
        <w:pStyle w:val="ListParagraph"/>
        <w:numPr>
          <w:ilvl w:val="0"/>
          <w:numId w:val="3"/>
        </w:numPr>
        <w:spacing w:after="80"/>
      </w:pPr>
      <w:r>
        <w:rPr>
          <w:rFonts w:ascii="Arial" w:cs="Arial" w:eastAsia="Arial" w:hAnsi="Arial"/>
          <w:sz w:val="22"/>
          <w:szCs w:val="22"/>
        </w:rPr>
        <w:t xml:space="preserve">Tire Technology Expo 2026 (Hanover, conference program): tiretechnology-expo.com/preliminary-program</w:t>
      </w:r>
    </w:p>
    <w:p>
      <w:pPr>
        <w:pStyle w:val="ListParagraph"/>
        <w:numPr>
          <w:ilvl w:val="0"/>
          <w:numId w:val="3"/>
        </w:numPr>
        <w:spacing w:after="80"/>
      </w:pPr>
      <w:r>
        <w:rPr>
          <w:rFonts w:ascii="Arial" w:cs="Arial" w:eastAsia="Arial" w:hAnsi="Arial"/>
          <w:sz w:val="22"/>
          <w:szCs w:val="22"/>
        </w:rPr>
        <w:t xml:space="preserve">Future Tire Conference 2026: futuretireconference.com</w:t>
      </w:r>
    </w:p>
    <w:p>
      <w:pPr>
        <w:pStyle w:val="ListParagraph"/>
        <w:numPr>
          <w:ilvl w:val="0"/>
          <w:numId w:val="3"/>
        </w:numPr>
        <w:spacing w:after="80"/>
      </w:pPr>
      <w:r>
        <w:rPr>
          <w:rFonts w:ascii="Arial" w:cs="Arial" w:eastAsia="Arial" w:hAnsi="Arial"/>
          <w:sz w:val="22"/>
          <w:szCs w:val="22"/>
        </w:rPr>
        <w:t xml:space="preserve">Traction Summit 2026 (Charleston SC): tractionsummit.com</w:t>
      </w:r>
    </w:p>
    <w:p>
      <w:pPr>
        <w:pStyle w:val="Heading2"/>
        <w:spacing w:after="140" w:before="280"/>
      </w:pPr>
      <w:r>
        <w:rPr>
          <w:rFonts w:ascii="Arial" w:cs="Arial" w:eastAsia="Arial" w:hAnsi="Arial"/>
          <w:b/>
          <w:bCs/>
          <w:sz w:val="26"/>
          <w:szCs w:val="26"/>
        </w:rPr>
        <w:t xml:space="preserve">EU Battery Regulation 2023/1542 (full primary source)</w:t>
      </w:r>
    </w:p>
    <w:p>
      <w:pPr>
        <w:pStyle w:val="ListParagraph"/>
        <w:numPr>
          <w:ilvl w:val="0"/>
          <w:numId w:val="3"/>
        </w:numPr>
        <w:spacing w:after="80"/>
      </w:pPr>
      <w:r>
        <w:rPr>
          <w:rFonts w:ascii="Arial" w:cs="Arial" w:eastAsia="Arial" w:hAnsi="Arial"/>
          <w:sz w:val="22"/>
          <w:szCs w:val="22"/>
        </w:rPr>
        <w:t xml:space="preserve">Regulation (EU) 2023/1542 of 12 July 2023 concerning batteries and waste batteries: eur-lex.europa.eu/eli/reg/2023/1542/oj/eng</w:t>
      </w:r>
    </w:p>
    <w:p>
      <w:pPr>
        <w:pStyle w:val="ListParagraph"/>
        <w:numPr>
          <w:ilvl w:val="0"/>
          <w:numId w:val="3"/>
        </w:numPr>
        <w:spacing w:after="80"/>
      </w:pPr>
      <w:r>
        <w:rPr>
          <w:rFonts w:ascii="Arial" w:cs="Arial" w:eastAsia="Arial" w:hAnsi="Arial"/>
          <w:sz w:val="22"/>
          <w:szCs w:val="22"/>
        </w:rPr>
        <w:t xml:space="preserve">Regulation (EU) 2025/1561 amending 2023/1542 on due diligence (July 18, 2025)</w:t>
      </w:r>
    </w:p>
    <w:p>
      <w:pPr>
        <w:pStyle w:val="ListParagraph"/>
        <w:numPr>
          <w:ilvl w:val="0"/>
          <w:numId w:val="3"/>
        </w:numPr>
        <w:spacing w:after="80"/>
      </w:pPr>
      <w:r>
        <w:rPr>
          <w:rFonts w:ascii="Arial" w:cs="Arial" w:eastAsia="Arial" w:hAnsi="Arial"/>
          <w:sz w:val="22"/>
          <w:szCs w:val="22"/>
        </w:rPr>
        <w:t xml:space="preserve">EU Battery Regulation 2026 compliance deadlines summary: greenli-ion.com; digiprodpass.com</w:t>
      </w:r>
    </w:p>
    <w:p>
      <w:pPr>
        <w:pStyle w:val="ListParagraph"/>
        <w:numPr>
          <w:ilvl w:val="0"/>
          <w:numId w:val="3"/>
        </w:numPr>
        <w:spacing w:after="80"/>
      </w:pPr>
      <w:r>
        <w:rPr>
          <w:rFonts w:ascii="Arial" w:cs="Arial" w:eastAsia="Arial" w:hAnsi="Arial"/>
          <w:sz w:val="22"/>
          <w:szCs w:val="22"/>
        </w:rPr>
        <w:t xml:space="preserve">Carbon Footprint Methodology for Industrial Batteries (JRC141282, May 2025): digiprodpass.com industrial-battery-carbon-footprint-guide</w:t>
      </w:r>
    </w:p>
    <w:p>
      <w:pPr>
        <w:pStyle w:val="ListParagraph"/>
        <w:numPr>
          <w:ilvl w:val="0"/>
          <w:numId w:val="3"/>
        </w:numPr>
        <w:spacing w:after="80"/>
      </w:pPr>
      <w:r>
        <w:rPr>
          <w:rFonts w:ascii="Arial" w:cs="Arial" w:eastAsia="Arial" w:hAnsi="Arial"/>
          <w:sz w:val="22"/>
          <w:szCs w:val="22"/>
        </w:rPr>
        <w:t xml:space="preserve">Industry impact analysis: flashbattery.tech; rev-log.com; industrialsustainabilitysolutions.com</w:t>
      </w:r>
    </w:p>
    <w:p>
      <w:pPr>
        <w:pStyle w:val="Heading2"/>
        <w:spacing w:after="140" w:before="280"/>
      </w:pPr>
      <w:r>
        <w:rPr>
          <w:rFonts w:ascii="Arial" w:cs="Arial" w:eastAsia="Arial" w:hAnsi="Arial"/>
          <w:b/>
          <w:bCs/>
          <w:sz w:val="26"/>
          <w:szCs w:val="26"/>
        </w:rPr>
        <w:t xml:space="preserve">Battery materials — hard carbon, conductive additives, graphene</w:t>
      </w:r>
    </w:p>
    <w:p>
      <w:pPr>
        <w:pStyle w:val="ListParagraph"/>
        <w:numPr>
          <w:ilvl w:val="0"/>
          <w:numId w:val="3"/>
        </w:numPr>
        <w:spacing w:after="80"/>
      </w:pPr>
      <w:r>
        <w:rPr>
          <w:rFonts w:ascii="Arial" w:cs="Arial" w:eastAsia="Arial" w:hAnsi="Arial"/>
          <w:sz w:val="22"/>
          <w:szCs w:val="22"/>
        </w:rPr>
        <w:t xml:space="preserve">Kuraray Kuranode hard carbon (350 mAh/g, ~2,000 t/yr capacity, coconut shell precursor): kuraray.com/global-en/products/kuranode; calgoncarbon.com</w:t>
      </w:r>
    </w:p>
    <w:p>
      <w:pPr>
        <w:pStyle w:val="ListParagraph"/>
        <w:numPr>
          <w:ilvl w:val="0"/>
          <w:numId w:val="3"/>
        </w:numPr>
        <w:spacing w:after="80"/>
      </w:pPr>
      <w:r>
        <w:rPr>
          <w:rFonts w:ascii="Arial" w:cs="Arial" w:eastAsia="Arial" w:hAnsi="Arial"/>
          <w:sz w:val="22"/>
          <w:szCs w:val="22"/>
        </w:rPr>
        <w:t xml:space="preserve">Hard carbon supplier landscape (Kuraray, JFE, Kureha, Sumitomo Bakelite, Stora Enso, Shanshan, BTR, Putailai, BestGraphene): takomabattery.com; xwmaterial.com</w:t>
      </w:r>
    </w:p>
    <w:p>
      <w:pPr>
        <w:pStyle w:val="ListParagraph"/>
        <w:numPr>
          <w:ilvl w:val="0"/>
          <w:numId w:val="3"/>
        </w:numPr>
        <w:spacing w:after="80"/>
      </w:pPr>
      <w:r>
        <w:rPr>
          <w:rFonts w:ascii="Arial" w:cs="Arial" w:eastAsia="Arial" w:hAnsi="Arial"/>
          <w:sz w:val="22"/>
          <w:szCs w:val="22"/>
        </w:rPr>
        <w:t xml:space="preserve">Global hard carbon market overview: valuates.com; xwmaterial.com; takomabattery.com</w:t>
      </w:r>
    </w:p>
    <w:p>
      <w:pPr>
        <w:pStyle w:val="ListParagraph"/>
        <w:numPr>
          <w:ilvl w:val="0"/>
          <w:numId w:val="3"/>
        </w:numPr>
        <w:spacing w:after="80"/>
      </w:pPr>
      <w:r>
        <w:rPr>
          <w:rFonts w:ascii="Arial" w:cs="Arial" w:eastAsia="Arial" w:hAnsi="Arial"/>
          <w:sz w:val="22"/>
          <w:szCs w:val="22"/>
        </w:rPr>
        <w:t xml:space="preserve">Anode conductive additives market outlook 2035 (carbon black, CNT, graphene): indexbox.io (March 2026)</w:t>
      </w:r>
    </w:p>
    <w:p>
      <w:pPr>
        <w:pStyle w:val="ListParagraph"/>
        <w:numPr>
          <w:ilvl w:val="0"/>
          <w:numId w:val="3"/>
        </w:numPr>
        <w:spacing w:after="80"/>
      </w:pPr>
      <w:r>
        <w:rPr>
          <w:rFonts w:ascii="Arial" w:cs="Arial" w:eastAsia="Arial" w:hAnsi="Arial"/>
          <w:sz w:val="22"/>
          <w:szCs w:val="22"/>
        </w:rPr>
        <w:t xml:space="preserve">Graphene battery commercial applications: grapheneuses.org; usa-graphene.com</w:t>
      </w:r>
    </w:p>
    <w:p>
      <w:pPr>
        <w:pStyle w:val="Heading2"/>
        <w:spacing w:after="140" w:before="280"/>
      </w:pPr>
      <w:r>
        <w:rPr>
          <w:rFonts w:ascii="Arial" w:cs="Arial" w:eastAsia="Arial" w:hAnsi="Arial"/>
          <w:b/>
          <w:bCs/>
          <w:sz w:val="26"/>
          <w:szCs w:val="26"/>
        </w:rPr>
        <w:t xml:space="preserve">CBAM and adjacent regulatory drivers</w:t>
      </w:r>
    </w:p>
    <w:p>
      <w:pPr>
        <w:pStyle w:val="ListParagraph"/>
        <w:numPr>
          <w:ilvl w:val="0"/>
          <w:numId w:val="3"/>
        </w:numPr>
        <w:spacing w:after="80"/>
      </w:pPr>
      <w:r>
        <w:rPr>
          <w:rFonts w:ascii="Arial" w:cs="Arial" w:eastAsia="Arial" w:hAnsi="Arial"/>
          <w:sz w:val="22"/>
          <w:szCs w:val="22"/>
        </w:rPr>
        <w:t xml:space="preserve">CBAM definitive phase from January 1, 2026; €100/t penalty for non-surrender: coolset.com (2026 timeline guide); ec.europa.eu/commission/presscorner/detail/en/qanda_25_3089</w:t>
      </w:r>
    </w:p>
    <w:p>
      <w:pPr>
        <w:pStyle w:val="ListParagraph"/>
        <w:numPr>
          <w:ilvl w:val="0"/>
          <w:numId w:val="3"/>
        </w:numPr>
        <w:spacing w:after="80"/>
      </w:pPr>
      <w:r>
        <w:rPr>
          <w:rFonts w:ascii="Arial" w:cs="Arial" w:eastAsia="Arial" w:hAnsi="Arial"/>
          <w:sz w:val="22"/>
          <w:szCs w:val="22"/>
        </w:rPr>
        <w:t xml:space="preserve">CBAM proposed expansion to 180 downstream products + organic chemicals/polymers (December 17, 2025 EC proposal): iisd.org; akingump.com; mayerbrown.com; gmk.center</w:t>
      </w:r>
    </w:p>
    <w:p>
      <w:pPr>
        <w:pStyle w:val="ListParagraph"/>
        <w:numPr>
          <w:ilvl w:val="0"/>
          <w:numId w:val="3"/>
        </w:numPr>
        <w:spacing w:after="80"/>
      </w:pPr>
      <w:r>
        <w:rPr>
          <w:rFonts w:ascii="Arial" w:cs="Arial" w:eastAsia="Arial" w:hAnsi="Arial"/>
          <w:sz w:val="22"/>
          <w:szCs w:val="22"/>
        </w:rPr>
        <w:t xml:space="preserve">Chemicals in CBAM: Sandbag policy brief (November 25, 2025; corrected February 17, 2026): sandbag.be</w:t>
      </w:r>
    </w:p>
    <w:p>
      <w:pPr>
        <w:pStyle w:val="ListParagraph"/>
        <w:numPr>
          <w:ilvl w:val="0"/>
          <w:numId w:val="3"/>
        </w:numPr>
        <w:spacing w:after="80"/>
      </w:pPr>
      <w:r>
        <w:rPr>
          <w:rFonts w:ascii="Arial" w:cs="Arial" w:eastAsia="Arial" w:hAnsi="Arial"/>
          <w:sz w:val="22"/>
          <w:szCs w:val="22"/>
        </w:rPr>
        <w:t xml:space="preserve">EU Cement Action Plan and Net Zero Roadmap (37% reduction 2030, 78% 2040): cementeurope.eu; spglobal.com (March 26, 2026 EC roadmap)</w:t>
      </w:r>
    </w:p>
    <w:p>
      <w:pPr>
        <w:pStyle w:val="Heading2"/>
        <w:spacing w:after="140" w:before="280"/>
      </w:pPr>
      <w:r>
        <w:rPr>
          <w:rFonts w:ascii="Arial" w:cs="Arial" w:eastAsia="Arial" w:hAnsi="Arial"/>
          <w:b/>
          <w:bCs/>
          <w:sz w:val="26"/>
          <w:szCs w:val="26"/>
        </w:rPr>
        <w:t xml:space="preserve">Activated carbon, PFAS, water treatment</w:t>
      </w:r>
    </w:p>
    <w:p>
      <w:pPr>
        <w:pStyle w:val="ListParagraph"/>
        <w:numPr>
          <w:ilvl w:val="0"/>
          <w:numId w:val="3"/>
        </w:numPr>
        <w:spacing w:after="80"/>
      </w:pPr>
      <w:r>
        <w:rPr>
          <w:rFonts w:ascii="Arial" w:cs="Arial" w:eastAsia="Arial" w:hAnsi="Arial"/>
          <w:sz w:val="22"/>
          <w:szCs w:val="22"/>
        </w:rPr>
        <w:t xml:space="preserve">US EPA PFAS rule (2024 final rule); GAC retrofits across hundreds of utilities: grandviewresearch.com; bisresearch.com</w:t>
      </w:r>
    </w:p>
    <w:p>
      <w:pPr>
        <w:pStyle w:val="ListParagraph"/>
        <w:numPr>
          <w:ilvl w:val="0"/>
          <w:numId w:val="3"/>
        </w:numPr>
        <w:spacing w:after="80"/>
      </w:pPr>
      <w:r>
        <w:rPr>
          <w:rFonts w:ascii="Arial" w:cs="Arial" w:eastAsia="Arial" w:hAnsi="Arial"/>
          <w:sz w:val="22"/>
          <w:szCs w:val="22"/>
        </w:rPr>
        <w:t xml:space="preserve">Activated carbon market $9.2B 2025 to $26.7B 2036: transparencymarketresearch.com</w:t>
      </w:r>
    </w:p>
    <w:p>
      <w:pPr>
        <w:pStyle w:val="ListParagraph"/>
        <w:numPr>
          <w:ilvl w:val="0"/>
          <w:numId w:val="3"/>
        </w:numPr>
        <w:spacing w:after="80"/>
      </w:pPr>
      <w:r>
        <w:rPr>
          <w:rFonts w:ascii="Arial" w:cs="Arial" w:eastAsia="Arial" w:hAnsi="Arial"/>
          <w:sz w:val="22"/>
          <w:szCs w:val="22"/>
        </w:rPr>
        <w:t xml:space="preserve">Activated carbon for water treatment market $7.85B by 2035: bisresearch.com</w:t>
      </w:r>
    </w:p>
    <w:p>
      <w:pPr>
        <w:pStyle w:val="ListParagraph"/>
        <w:numPr>
          <w:ilvl w:val="0"/>
          <w:numId w:val="3"/>
        </w:numPr>
        <w:spacing w:after="80"/>
      </w:pPr>
      <w:r>
        <w:rPr>
          <w:rFonts w:ascii="Arial" w:cs="Arial" w:eastAsia="Arial" w:hAnsi="Arial"/>
          <w:sz w:val="22"/>
          <w:szCs w:val="22"/>
        </w:rPr>
        <w:t xml:space="preserve">PFAS water treatment market $1.2B (2024) to $2.18B (2030): virtuemarketresearch.com</w:t>
      </w:r>
    </w:p>
    <w:p>
      <w:pPr>
        <w:pStyle w:val="Heading2"/>
        <w:spacing w:after="140" w:before="280"/>
      </w:pPr>
      <w:r>
        <w:rPr>
          <w:rFonts w:ascii="Arial" w:cs="Arial" w:eastAsia="Arial" w:hAnsi="Arial"/>
          <w:b/>
          <w:bCs/>
          <w:sz w:val="26"/>
          <w:szCs w:val="26"/>
        </w:rPr>
        <w:t xml:space="preserve">Graphene-enhanced concrete</w:t>
      </w:r>
    </w:p>
    <w:p>
      <w:pPr>
        <w:pStyle w:val="ListParagraph"/>
        <w:numPr>
          <w:ilvl w:val="0"/>
          <w:numId w:val="3"/>
        </w:numPr>
        <w:spacing w:after="80"/>
      </w:pPr>
      <w:r>
        <w:rPr>
          <w:rFonts w:ascii="Arial" w:cs="Arial" w:eastAsia="Arial" w:hAnsi="Arial"/>
          <w:sz w:val="22"/>
          <w:szCs w:val="22"/>
        </w:rPr>
        <w:t xml:space="preserve">First Graphene + Breedon ~600 tonnes graphene-enhanced cement at Hope Cement Works: graphene-info.com</w:t>
      </w:r>
    </w:p>
    <w:p>
      <w:pPr>
        <w:pStyle w:val="ListParagraph"/>
        <w:numPr>
          <w:ilvl w:val="0"/>
          <w:numId w:val="3"/>
        </w:numPr>
        <w:spacing w:after="80"/>
      </w:pPr>
      <w:r>
        <w:rPr>
          <w:rFonts w:ascii="Arial" w:cs="Arial" w:eastAsia="Arial" w:hAnsi="Arial"/>
          <w:sz w:val="22"/>
          <w:szCs w:val="22"/>
        </w:rPr>
        <w:t xml:space="preserve">Lyten S Cure™ graphene concrete admixture launch (January 2026): graphene-info.com; grapheneuses.org</w:t>
      </w:r>
    </w:p>
    <w:p>
      <w:pPr>
        <w:pStyle w:val="ListParagraph"/>
        <w:numPr>
          <w:ilvl w:val="0"/>
          <w:numId w:val="3"/>
        </w:numPr>
        <w:spacing w:after="80"/>
      </w:pPr>
      <w:r>
        <w:rPr>
          <w:rFonts w:ascii="Arial" w:cs="Arial" w:eastAsia="Arial" w:hAnsi="Arial"/>
          <w:sz w:val="22"/>
          <w:szCs w:val="22"/>
        </w:rPr>
        <w:t xml:space="preserve">Plaid Technologies graphene-enhanced wellbore cement: graphene-info.com (January 16, 2026); thenewswire.com</w:t>
      </w:r>
    </w:p>
    <w:p>
      <w:pPr>
        <w:pStyle w:val="ListParagraph"/>
        <w:numPr>
          <w:ilvl w:val="0"/>
          <w:numId w:val="3"/>
        </w:numPr>
        <w:spacing w:after="80"/>
      </w:pPr>
      <w:r>
        <w:rPr>
          <w:rFonts w:ascii="Arial" w:cs="Arial" w:eastAsia="Arial" w:hAnsi="Arial"/>
          <w:sz w:val="22"/>
          <w:szCs w:val="22"/>
        </w:rPr>
        <w:t xml:space="preserve">Concrene® patent portfolio (US, EU, Canada): concrene.com</w:t>
      </w:r>
    </w:p>
    <w:p>
      <w:pPr>
        <w:pStyle w:val="ListParagraph"/>
        <w:numPr>
          <w:ilvl w:val="0"/>
          <w:numId w:val="3"/>
        </w:numPr>
        <w:spacing w:after="80"/>
      </w:pPr>
      <w:r>
        <w:rPr>
          <w:rFonts w:ascii="Arial" w:cs="Arial" w:eastAsia="Arial" w:hAnsi="Arial"/>
          <w:sz w:val="22"/>
          <w:szCs w:val="22"/>
        </w:rPr>
        <w:t xml:space="preserve">USPTO patent 12215056 on graphene nanomaterials cement additives: image-ppubs.uspto.gov</w:t>
      </w:r>
    </w:p>
    <w:p>
      <w:pPr>
        <w:pStyle w:val="Heading2"/>
        <w:spacing w:after="140" w:before="280"/>
      </w:pPr>
      <w:r>
        <w:rPr>
          <w:rFonts w:ascii="Arial" w:cs="Arial" w:eastAsia="Arial" w:hAnsi="Arial"/>
          <w:b/>
          <w:bCs/>
          <w:sz w:val="26"/>
          <w:szCs w:val="26"/>
        </w:rPr>
        <w:t xml:space="preserve">Carbon credit pricing and Puro.earth</w:t>
      </w:r>
    </w:p>
    <w:p>
      <w:pPr>
        <w:pStyle w:val="ListParagraph"/>
        <w:numPr>
          <w:ilvl w:val="0"/>
          <w:numId w:val="3"/>
        </w:numPr>
        <w:spacing w:after="80"/>
      </w:pPr>
      <w:r>
        <w:rPr>
          <w:rFonts w:ascii="Arial" w:cs="Arial" w:eastAsia="Arial" w:hAnsi="Arial"/>
          <w:sz w:val="22"/>
          <w:szCs w:val="22"/>
        </w:rPr>
        <w:t xml:space="preserve">Puro.earth Standard and CORC issuance methodology (Nasdaq majority-owned, 2021): puro.earth; nasdaq.com/solutions/carbon-removal-platform</w:t>
      </w:r>
    </w:p>
    <w:p>
      <w:pPr>
        <w:pStyle w:val="ListParagraph"/>
        <w:numPr>
          <w:ilvl w:val="0"/>
          <w:numId w:val="3"/>
        </w:numPr>
        <w:spacing w:after="80"/>
      </w:pPr>
      <w:r>
        <w:rPr>
          <w:rFonts w:ascii="Arial" w:cs="Arial" w:eastAsia="Arial" w:hAnsi="Arial"/>
          <w:sz w:val="22"/>
          <w:szCs w:val="22"/>
        </w:rPr>
        <w:t xml:space="preserve">CORC Biochar Price Index (CORCCHAR) €125-145/t 2025: puro.earth/corc-carbon-removal-indexes; senken.io</w:t>
      </w:r>
    </w:p>
    <w:p>
      <w:pPr>
        <w:pStyle w:val="ListParagraph"/>
        <w:numPr>
          <w:ilvl w:val="0"/>
          <w:numId w:val="3"/>
        </w:numPr>
        <w:spacing w:after="80"/>
      </w:pPr>
      <w:r>
        <w:rPr>
          <w:rFonts w:ascii="Arial" w:cs="Arial" w:eastAsia="Arial" w:hAnsi="Arial"/>
          <w:sz w:val="22"/>
          <w:szCs w:val="22"/>
        </w:rPr>
        <w:t xml:space="preserve">Puro.earth Q1 2025: 1.5M+ CORCs issued; biochar + GSC over two-thirds: regreener.earth</w:t>
      </w:r>
    </w:p>
    <w:p>
      <w:r>
        <w:br w:type="page"/>
      </w:r>
    </w:p>
    <w:p>
      <w:pPr>
        <w:pStyle w:val="Heading1"/>
        <w:spacing w:after="140" w:before="280"/>
      </w:pPr>
      <w:r>
        <w:rPr>
          <w:rFonts w:ascii="Arial" w:cs="Arial" w:eastAsia="Arial" w:hAnsi="Arial"/>
          <w:b/>
          <w:bCs/>
          <w:sz w:val="32"/>
          <w:szCs w:val="32"/>
        </w:rPr>
        <w:t xml:space="preserve">10. Closing — One Frame</w:t>
      </w:r>
    </w:p>
    <w:p>
      <w:pPr>
        <w:spacing w:after="120"/>
      </w:pPr>
      <w:r>
        <w:rPr>
          <w:rFonts w:ascii="Arial" w:cs="Arial" w:eastAsia="Arial" w:hAnsi="Arial"/>
          <w:i w:val="false"/>
          <w:iCs w:val="false"/>
          <w:sz w:val="22"/>
          <w:szCs w:val="22"/>
        </w:rPr>
        <w:t xml:space="preserve">The Quantom v32 deck argues the company starts with sequestration, scales through tire carbon black, and transforms through graphene. This memo confirms the architecture is correct and adds three things: (1) </w:t>
      </w:r>
      <w:r>
        <w:rPr>
          <w:rFonts w:ascii="Arial" w:cs="Arial" w:eastAsia="Arial" w:hAnsi="Arial"/>
          <w:i/>
          <w:iCs/>
          <w:sz w:val="22"/>
          <w:szCs w:val="22"/>
        </w:rPr>
        <w:t xml:space="preserve">the named individuals and physical addresses</w:t>
      </w:r>
      <w:r>
        <w:rPr>
          <w:rFonts w:ascii="Arial" w:cs="Arial" w:eastAsia="Arial" w:hAnsi="Arial"/>
          <w:i w:val="false"/>
          <w:iCs w:val="false"/>
          <w:sz w:val="22"/>
          <w:szCs w:val="22"/>
        </w:rPr>
        <w:t xml:space="preserve"> for the next 24 months of outreach, (2) the </w:t>
      </w:r>
      <w:r>
        <w:rPr>
          <w:rFonts w:ascii="Arial" w:cs="Arial" w:eastAsia="Arial" w:hAnsi="Arial"/>
          <w:i/>
          <w:iCs/>
          <w:sz w:val="22"/>
          <w:szCs w:val="22"/>
        </w:rPr>
        <w:t xml:space="preserve">binding regulatory backbone</w:t>
      </w:r>
      <w:r>
        <w:rPr>
          <w:rFonts w:ascii="Arial" w:cs="Arial" w:eastAsia="Arial" w:hAnsi="Arial"/>
          <w:i w:val="false"/>
          <w:iCs w:val="false"/>
          <w:sz w:val="22"/>
          <w:szCs w:val="22"/>
        </w:rPr>
        <w:t xml:space="preserve"> under EU Battery Regulation 2023/1542 that makes battery coatings the natural second vertical, and (3) the </w:t>
      </w:r>
      <w:r>
        <w:rPr>
          <w:rFonts w:ascii="Arial" w:cs="Arial" w:eastAsia="Arial" w:hAnsi="Arial"/>
          <w:i/>
          <w:iCs/>
          <w:sz w:val="22"/>
          <w:szCs w:val="22"/>
        </w:rPr>
        <w:t xml:space="preserve">five-deep priority queue</w:t>
      </w:r>
      <w:r>
        <w:rPr>
          <w:rFonts w:ascii="Arial" w:cs="Arial" w:eastAsia="Arial" w:hAnsi="Arial"/>
          <w:i w:val="false"/>
          <w:iCs w:val="false"/>
          <w:sz w:val="22"/>
          <w:szCs w:val="22"/>
        </w:rPr>
        <w:t xml:space="preserve"> of regulated-carbon verticals that lets Quantom hedge if any one of them slips on timing.</w:t>
      </w:r>
    </w:p>
    <w:p>
      <w:pPr>
        <w:spacing w:after="120"/>
      </w:pPr>
      <w:r>
        <w:rPr>
          <w:rFonts w:ascii="Arial" w:cs="Arial" w:eastAsia="Arial" w:hAnsi="Arial"/>
          <w:sz w:val="22"/>
          <w:szCs w:val="22"/>
        </w:rPr>
        <w:t xml:space="preserve">The work between now and the August 2026 close is concrete: open six conversations, attend two conferences, build the methodology relationship with Puro.earth, and finish the 10L prototype. None of these are speculative. All have named counterparts. The pre-seed buys exactly that runway.</w:t>
      </w:r>
    </w:p>
    <w:p>
      <w:pPr>
        <w:spacing w:after="120"/>
      </w:pPr>
      <w:r>
        <w:rPr>
          <w:rFonts w:ascii="Arial" w:cs="Arial" w:eastAsia="Arial" w:hAnsi="Arial"/>
          <w:sz w:val="22"/>
          <w:szCs w:val="22"/>
        </w:rPr>
        <w:t xml:space="preserve"/>
      </w:r>
    </w:p>
    <w:p>
      <w:pPr>
        <w:spacing w:after="120"/>
      </w:pPr>
      <w:r>
        <w:rPr>
          <w:rFonts w:ascii="Arial" w:cs="Arial" w:eastAsia="Arial" w:hAnsi="Arial"/>
          <w:b/>
          <w:bCs/>
          <w:i/>
          <w:iCs/>
          <w:color w:val="555555"/>
          <w:sz w:val="22"/>
          <w:szCs w:val="22"/>
        </w:rPr>
        <w:t xml:space="preserve">— Murat Armbruster, CEO, Quantom LLC</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777777"/>
        <w:sz w:val="18"/>
        <w:szCs w:val="18"/>
      </w:rPr>
      <w:t xml:space="preserve">Page </w:t>
    </w:r>
    <w:r>
      <w:rPr>
        <w:rFonts w:ascii="Arial" w:cs="Arial" w:eastAsia="Arial" w:hAnsi="Arial"/>
        <w:color w:val="777777"/>
        <w:sz w:val="18"/>
        <w:szCs w:val="18"/>
      </w:rPr>
      <w:fldChar w:fldCharType="begin"/>
      <w:instrText xml:space="preserve">PAGE</w:instrText>
      <w:fldChar w:fldCharType="separate"/>
      <w:fldChar w:fldCharType="end"/>
    </w:r>
    <w:r>
      <w:rPr>
        <w:rFonts w:ascii="Arial" w:cs="Arial" w:eastAsia="Arial" w:hAnsi="Arial"/>
        <w:color w:val="777777"/>
        <w:sz w:val="18"/>
        <w:szCs w:val="18"/>
      </w:rPr>
      <w:t xml:space="preserve"> of </w:t>
    </w:r>
    <w:r>
      <w:rPr>
        <w:rFonts w:ascii="Arial" w:cs="Arial" w:eastAsia="Arial" w:hAnsi="Arial"/>
        <w:color w:val="777777"/>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99999"/>
        <w:sz w:val="18"/>
        <w:szCs w:val="18"/>
      </w:rPr>
      <w:t xml:space="preserve">QUANTOM · CONFIDENTIAL · INTERNAL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80"/>
      <w:outlineLvl w:val="0"/>
    </w:pPr>
    <w:rPr>
      <w:rFonts w:ascii="Arial" w:cs="Arial" w:eastAsia="Arial" w:hAnsi="Arial"/>
      <w:b/>
      <w:bCs/>
      <w:color w:val="1A1A1A"/>
      <w:sz w:val="32"/>
      <w:szCs w:val="32"/>
    </w:rPr>
  </w:style>
  <w:style w:type="paragraph" w:styleId="Heading2">
    <w:name w:val="Heading 2"/>
    <w:basedOn w:val="Normal"/>
    <w:next w:val="Normal"/>
    <w:qFormat/>
    <w:pPr>
      <w:spacing w:after="120" w:before="220"/>
      <w:outlineLvl w:val="1"/>
    </w:pPr>
    <w:rPr>
      <w:rFonts w:ascii="Arial" w:cs="Arial" w:eastAsia="Arial" w:hAnsi="Arial"/>
      <w:b/>
      <w:bCs/>
      <w:color w:val="C0633C"/>
      <w:sz w:val="26"/>
      <w:szCs w:val="26"/>
    </w:rPr>
  </w:style>
  <w:style w:type="paragraph" w:styleId="Heading3">
    <w:name w:val="Heading 3"/>
    <w:basedOn w:val="Normal"/>
    <w:next w:val="Normal"/>
    <w:qFormat/>
    <w:pPr>
      <w:spacing w:after="80" w:before="160"/>
      <w:outlineLvl w:val="2"/>
    </w:pPr>
    <w:rPr>
      <w:rFonts w:ascii="Arial" w:cs="Arial" w:eastAsia="Arial" w:hAnsi="Arial"/>
      <w:b/>
      <w:bCs/>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2026-05-17T07:53:49.653Z</dcterms:created>
  <dcterms:modified xsi:type="dcterms:W3CDTF">2026-05-17T07:53:49.663Z</dcterms:modified>
</cp:coreProperties>
</file>

<file path=docProps/custom.xml><?xml version="1.0" encoding="utf-8"?>
<Properties xmlns="http://schemas.openxmlformats.org/officeDocument/2006/custom-properties" xmlns:vt="http://schemas.openxmlformats.org/officeDocument/2006/docPropsVTypes"/>
</file>